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A8AC" w14:textId="10151BA5" w:rsidR="00B4234C" w:rsidRPr="00444E72" w:rsidRDefault="00901425" w:rsidP="00B4234C">
      <w:pPr>
        <w:pStyle w:val="a3"/>
        <w:jc w:val="center"/>
        <w:rPr>
          <w:rFonts w:ascii="Times New Roman" w:eastAsia="標楷體" w:hAnsi="Times New Roman" w:cs="Times New Roman"/>
          <w:b/>
          <w:color w:val="000000"/>
          <w:sz w:val="28"/>
          <w:szCs w:val="28"/>
          <w:lang w:eastAsia="zh-HK"/>
        </w:rPr>
      </w:pPr>
      <w:r w:rsidRPr="00901425">
        <w:rPr>
          <w:rFonts w:ascii="Times New Roman" w:eastAsia="DengXian" w:hAnsi="Times New Roman" w:cs="Times New Roman" w:hint="eastAsia"/>
          <w:b/>
          <w:bCs/>
          <w:sz w:val="28"/>
          <w:szCs w:val="28"/>
          <w:lang w:eastAsia="zh-CN"/>
        </w:rPr>
        <w:t>公民、经济与社会</w:t>
      </w:r>
      <w:r w:rsidRPr="00901425">
        <w:rPr>
          <w:rFonts w:ascii="Times New Roman" w:eastAsia="DengXian" w:hAnsi="Times New Roman" w:cs="Times New Roman" w:hint="eastAsia"/>
          <w:b/>
          <w:color w:val="000000"/>
          <w:sz w:val="28"/>
          <w:szCs w:val="28"/>
          <w:lang w:eastAsia="zh-CN"/>
        </w:rPr>
        <w:t>（中一至中三）</w:t>
      </w:r>
    </w:p>
    <w:p w14:paraId="03E3FA13" w14:textId="4B00E965" w:rsidR="00B102F0" w:rsidRPr="00AA3802" w:rsidRDefault="00901425" w:rsidP="00B102F0">
      <w:pPr>
        <w:pStyle w:val="a3"/>
        <w:jc w:val="center"/>
        <w:rPr>
          <w:rFonts w:ascii="標楷體" w:eastAsia="標楷體" w:hAnsi="標楷體"/>
          <w:b/>
          <w:bCs/>
          <w:sz w:val="28"/>
          <w:szCs w:val="28"/>
          <w:lang w:eastAsia="zh-HK"/>
        </w:rPr>
      </w:pPr>
      <w:r w:rsidRPr="00901425">
        <w:rPr>
          <w:rFonts w:ascii="標楷體" w:eastAsia="DengXian" w:hAnsi="標楷體" w:hint="eastAsia"/>
          <w:b/>
          <w:bCs/>
          <w:sz w:val="28"/>
          <w:szCs w:val="28"/>
          <w:lang w:eastAsia="zh-CN"/>
        </w:rPr>
        <w:t>「三分钟概念」动画视像片段系列：</w:t>
      </w:r>
    </w:p>
    <w:p w14:paraId="5BFD528A" w14:textId="034A2641" w:rsidR="00E51BE1" w:rsidRDefault="00901425" w:rsidP="00BE7D33">
      <w:pPr>
        <w:pStyle w:val="a3"/>
        <w:jc w:val="center"/>
        <w:rPr>
          <w:rFonts w:ascii="標楷體" w:eastAsia="標楷體" w:hAnsi="標楷體"/>
          <w:b/>
          <w:sz w:val="28"/>
          <w:szCs w:val="28"/>
          <w:lang w:eastAsia="zh-HK"/>
        </w:rPr>
      </w:pPr>
      <w:r w:rsidRPr="00901425">
        <w:rPr>
          <w:rFonts w:ascii="標楷體" w:eastAsia="DengXian" w:hAnsi="標楷體" w:hint="eastAsia"/>
          <w:b/>
          <w:sz w:val="28"/>
          <w:szCs w:val="28"/>
          <w:lang w:eastAsia="zh-CN"/>
        </w:rPr>
        <w:t>「多元共融」</w:t>
      </w:r>
    </w:p>
    <w:p w14:paraId="20545559" w14:textId="73463268" w:rsidR="003F3327" w:rsidRPr="00AA3802" w:rsidRDefault="00901425" w:rsidP="00BE7D33">
      <w:pPr>
        <w:pStyle w:val="a3"/>
        <w:jc w:val="center"/>
        <w:rPr>
          <w:rFonts w:ascii="標楷體" w:eastAsia="標楷體" w:hAnsi="標楷體"/>
          <w:b/>
          <w:sz w:val="28"/>
          <w:szCs w:val="28"/>
          <w:lang w:eastAsia="zh-HK"/>
        </w:rPr>
      </w:pPr>
      <w:r w:rsidRPr="00901425">
        <w:rPr>
          <w:rFonts w:ascii="標楷體" w:eastAsia="DengXian" w:hAnsi="標楷體" w:hint="eastAsia"/>
          <w:b/>
          <w:sz w:val="28"/>
          <w:szCs w:val="28"/>
          <w:lang w:eastAsia="zh-CN"/>
        </w:rPr>
        <w:t>教学指引</w:t>
      </w:r>
    </w:p>
    <w:p w14:paraId="5E5AE94F" w14:textId="77777777" w:rsidR="0036166B" w:rsidRDefault="0036166B" w:rsidP="003F3327">
      <w:pPr>
        <w:pStyle w:val="a3"/>
        <w:jc w:val="center"/>
        <w:rPr>
          <w:sz w:val="24"/>
          <w:szCs w:val="24"/>
        </w:rPr>
      </w:pPr>
    </w:p>
    <w:p w14:paraId="60B55B75" w14:textId="3E1FE212" w:rsidR="00B102F0" w:rsidRPr="00017703" w:rsidRDefault="00901425" w:rsidP="00B102F0">
      <w:pPr>
        <w:snapToGrid w:val="0"/>
        <w:spacing w:afterLines="50" w:after="120"/>
        <w:jc w:val="both"/>
        <w:rPr>
          <w:rFonts w:ascii="Times New Roman" w:eastAsia="標楷體" w:hAnsi="Times New Roman" w:cs="Times New Roman"/>
          <w:sz w:val="28"/>
          <w:szCs w:val="28"/>
        </w:rPr>
      </w:pPr>
      <w:r w:rsidRPr="00901425">
        <w:rPr>
          <w:rFonts w:ascii="Times New Roman" w:eastAsia="DengXian" w:hAnsi="Times New Roman" w:cs="Times New Roman" w:hint="eastAsia"/>
          <w:b/>
          <w:sz w:val="28"/>
          <w:szCs w:val="28"/>
          <w:lang w:eastAsia="zh-CN"/>
        </w:rPr>
        <w:t>一</w:t>
      </w:r>
      <w:r w:rsidRPr="00901425">
        <w:rPr>
          <w:rFonts w:ascii="Times New Roman" w:eastAsia="DengXian" w:hAnsi="Times New Roman" w:cs="Times New Roman"/>
          <w:b/>
          <w:sz w:val="28"/>
          <w:szCs w:val="28"/>
          <w:lang w:eastAsia="zh-CN"/>
        </w:rPr>
        <w:t xml:space="preserve">. </w:t>
      </w:r>
      <w:r w:rsidRPr="00901425">
        <w:rPr>
          <w:rFonts w:ascii="Times New Roman" w:eastAsia="DengXian" w:hAnsi="Times New Roman" w:cs="Times New Roman" w:hint="eastAsia"/>
          <w:b/>
          <w:sz w:val="28"/>
          <w:szCs w:val="28"/>
          <w:lang w:eastAsia="zh-CN"/>
        </w:rPr>
        <w:t>动画视像片段名称</w:t>
      </w:r>
      <w:r w:rsidRPr="00901425">
        <w:rPr>
          <w:rFonts w:ascii="Times New Roman" w:eastAsia="DengXian" w:hAnsi="Times New Roman" w:cs="Times New Roman" w:hint="eastAsia"/>
          <w:sz w:val="28"/>
          <w:szCs w:val="28"/>
          <w:lang w:eastAsia="zh-CN"/>
        </w:rPr>
        <w:t>：「多元共融」</w:t>
      </w:r>
    </w:p>
    <w:p w14:paraId="28827697" w14:textId="741D4E49" w:rsidR="00B102F0" w:rsidRPr="00017703" w:rsidRDefault="00901425" w:rsidP="00B102F0">
      <w:pPr>
        <w:snapToGrid w:val="0"/>
        <w:spacing w:afterLines="50" w:after="120"/>
        <w:jc w:val="both"/>
        <w:rPr>
          <w:rFonts w:ascii="Times New Roman" w:eastAsia="標楷體" w:hAnsi="Times New Roman" w:cs="Times New Roman"/>
          <w:sz w:val="28"/>
          <w:szCs w:val="28"/>
        </w:rPr>
      </w:pPr>
      <w:r w:rsidRPr="00901425">
        <w:rPr>
          <w:rFonts w:ascii="Times New Roman" w:eastAsia="DengXian" w:hAnsi="Times New Roman" w:cs="Times New Roman" w:hint="eastAsia"/>
          <w:b/>
          <w:sz w:val="28"/>
          <w:szCs w:val="28"/>
          <w:lang w:eastAsia="zh-CN"/>
        </w:rPr>
        <w:t>二</w:t>
      </w:r>
      <w:r w:rsidRPr="00901425">
        <w:rPr>
          <w:rFonts w:ascii="Times New Roman" w:eastAsia="DengXian" w:hAnsi="Times New Roman" w:cs="Times New Roman"/>
          <w:b/>
          <w:sz w:val="28"/>
          <w:szCs w:val="28"/>
          <w:lang w:eastAsia="zh-CN"/>
        </w:rPr>
        <w:t xml:space="preserve">. </w:t>
      </w:r>
      <w:r w:rsidRPr="00901425">
        <w:rPr>
          <w:rFonts w:ascii="Times New Roman" w:eastAsia="DengXian" w:hAnsi="Times New Roman" w:cs="Times New Roman" w:hint="eastAsia"/>
          <w:b/>
          <w:sz w:val="28"/>
          <w:szCs w:val="28"/>
          <w:lang w:eastAsia="zh-CN"/>
        </w:rPr>
        <w:t>动画视像片段长度</w:t>
      </w:r>
      <w:r w:rsidRPr="00901425">
        <w:rPr>
          <w:rFonts w:ascii="Times New Roman" w:eastAsia="DengXian" w:hAnsi="Times New Roman" w:cs="Times New Roman" w:hint="eastAsia"/>
          <w:sz w:val="28"/>
          <w:szCs w:val="28"/>
          <w:lang w:eastAsia="zh-CN"/>
        </w:rPr>
        <w:t>：约</w:t>
      </w:r>
      <w:r w:rsidRPr="00901425">
        <w:rPr>
          <w:rFonts w:ascii="Times New Roman" w:eastAsia="DengXian" w:hAnsi="Times New Roman" w:cs="Times New Roman"/>
          <w:sz w:val="28"/>
          <w:szCs w:val="28"/>
          <w:lang w:eastAsia="zh-CN"/>
        </w:rPr>
        <w:t>3</w:t>
      </w:r>
      <w:r w:rsidRPr="00901425">
        <w:rPr>
          <w:rFonts w:ascii="Times New Roman" w:eastAsia="DengXian" w:hAnsi="Times New Roman" w:cs="Times New Roman" w:hint="eastAsia"/>
          <w:sz w:val="28"/>
          <w:szCs w:val="28"/>
          <w:lang w:eastAsia="zh-CN"/>
        </w:rPr>
        <w:t>分钟</w:t>
      </w:r>
    </w:p>
    <w:p w14:paraId="300C4597" w14:textId="6D6B16A1" w:rsidR="00E51BE1" w:rsidRPr="00017703" w:rsidRDefault="00901425" w:rsidP="00E91B48">
      <w:pPr>
        <w:snapToGrid w:val="0"/>
        <w:spacing w:afterLines="50" w:after="120"/>
        <w:rPr>
          <w:rFonts w:ascii="Times New Roman" w:eastAsia="標楷體" w:hAnsi="Times New Roman" w:cs="Times New Roman"/>
          <w:sz w:val="28"/>
          <w:szCs w:val="28"/>
        </w:rPr>
      </w:pPr>
      <w:r w:rsidRPr="00901425">
        <w:rPr>
          <w:rFonts w:ascii="Times New Roman" w:eastAsia="DengXian" w:hAnsi="Times New Roman" w:cs="Times New Roman" w:hint="eastAsia"/>
          <w:b/>
          <w:sz w:val="28"/>
          <w:szCs w:val="28"/>
          <w:lang w:eastAsia="zh-CN"/>
        </w:rPr>
        <w:t>三</w:t>
      </w:r>
      <w:r w:rsidRPr="00901425">
        <w:rPr>
          <w:rFonts w:ascii="Times New Roman" w:eastAsia="DengXian" w:hAnsi="Times New Roman" w:cs="Times New Roman"/>
          <w:b/>
          <w:sz w:val="28"/>
          <w:szCs w:val="28"/>
          <w:lang w:eastAsia="zh-CN"/>
        </w:rPr>
        <w:t xml:space="preserve">. </w:t>
      </w:r>
      <w:r w:rsidRPr="00901425">
        <w:rPr>
          <w:rFonts w:ascii="Times New Roman" w:eastAsia="DengXian" w:hAnsi="Times New Roman" w:cs="Times New Roman" w:hint="eastAsia"/>
          <w:b/>
          <w:sz w:val="28"/>
          <w:szCs w:val="28"/>
          <w:lang w:eastAsia="zh-CN"/>
        </w:rPr>
        <w:t>相关公经社单元</w:t>
      </w:r>
      <w:r w:rsidRPr="00901425">
        <w:rPr>
          <w:rFonts w:ascii="Times New Roman" w:eastAsia="DengXian" w:hAnsi="Times New Roman" w:cs="Times New Roman" w:hint="eastAsia"/>
          <w:sz w:val="28"/>
          <w:szCs w:val="28"/>
          <w:lang w:eastAsia="zh-CN"/>
        </w:rPr>
        <w:t>：单元</w:t>
      </w:r>
      <w:r w:rsidRPr="00901425">
        <w:rPr>
          <w:rFonts w:ascii="Times New Roman" w:eastAsia="DengXian" w:hAnsi="Times New Roman" w:cs="Times New Roman"/>
          <w:sz w:val="28"/>
          <w:szCs w:val="28"/>
          <w:lang w:eastAsia="zh-CN"/>
        </w:rPr>
        <w:t>1.2</w:t>
      </w:r>
      <w:r w:rsidRPr="00901425">
        <w:rPr>
          <w:rFonts w:ascii="Times New Roman" w:eastAsia="DengXian" w:hAnsi="Times New Roman" w:cs="Times New Roman" w:hint="eastAsia"/>
          <w:sz w:val="28"/>
          <w:szCs w:val="28"/>
          <w:lang w:eastAsia="zh-CN"/>
        </w:rPr>
        <w:t>人际关系与社会共融、单元</w:t>
      </w:r>
      <w:r w:rsidRPr="00901425">
        <w:rPr>
          <w:rFonts w:ascii="Times New Roman" w:eastAsia="DengXian" w:hAnsi="Times New Roman" w:cs="Times New Roman"/>
          <w:sz w:val="28"/>
          <w:szCs w:val="28"/>
          <w:lang w:eastAsia="zh-CN"/>
        </w:rPr>
        <w:t>1.4</w:t>
      </w:r>
      <w:r w:rsidRPr="00901425">
        <w:rPr>
          <w:rFonts w:ascii="Times New Roman" w:eastAsia="DengXian" w:hAnsi="Times New Roman" w:cs="Times New Roman" w:hint="eastAsia"/>
          <w:sz w:val="28"/>
          <w:szCs w:val="28"/>
          <w:lang w:eastAsia="zh-CN"/>
        </w:rPr>
        <w:t>权利与义务</w:t>
      </w:r>
    </w:p>
    <w:p w14:paraId="61D67750" w14:textId="21BBB2FE" w:rsidR="00B102F0" w:rsidRDefault="00901425" w:rsidP="00F0279F">
      <w:pPr>
        <w:pStyle w:val="Default"/>
        <w:snapToGrid w:val="0"/>
        <w:spacing w:line="276" w:lineRule="auto"/>
        <w:jc w:val="both"/>
        <w:rPr>
          <w:rFonts w:ascii="標楷體" w:eastAsia="標楷體" w:hAnsi="標楷體"/>
          <w:bCs/>
          <w:sz w:val="28"/>
          <w:szCs w:val="28"/>
          <w:lang w:eastAsia="zh-HK"/>
        </w:rPr>
      </w:pPr>
      <w:r w:rsidRPr="00901425">
        <w:rPr>
          <w:rFonts w:ascii="Times New Roman" w:eastAsia="DengXian" w:cs="Times New Roman" w:hint="eastAsia"/>
          <w:b/>
          <w:sz w:val="28"/>
          <w:szCs w:val="28"/>
          <w:lang w:eastAsia="zh-CN"/>
        </w:rPr>
        <w:t>四</w:t>
      </w:r>
      <w:r w:rsidRPr="00901425">
        <w:rPr>
          <w:rFonts w:ascii="Times New Roman" w:eastAsia="DengXian" w:cs="Times New Roman"/>
          <w:b/>
          <w:sz w:val="28"/>
          <w:szCs w:val="28"/>
          <w:lang w:eastAsia="zh-CN"/>
        </w:rPr>
        <w:t xml:space="preserve">. </w:t>
      </w:r>
      <w:r w:rsidRPr="00901425">
        <w:rPr>
          <w:rFonts w:ascii="Times New Roman" w:eastAsia="DengXian" w:cs="Times New Roman" w:hint="eastAsia"/>
          <w:b/>
          <w:sz w:val="28"/>
          <w:szCs w:val="28"/>
          <w:lang w:eastAsia="zh-CN"/>
        </w:rPr>
        <w:t>动画视像片段简介</w:t>
      </w:r>
      <w:r w:rsidRPr="00901425">
        <w:rPr>
          <w:rFonts w:ascii="Times New Roman" w:eastAsia="DengXian" w:cs="Times New Roman" w:hint="eastAsia"/>
          <w:sz w:val="28"/>
          <w:szCs w:val="28"/>
          <w:lang w:eastAsia="zh-CN"/>
        </w:rPr>
        <w:t>：</w:t>
      </w:r>
      <w:r w:rsidRPr="00901425">
        <w:rPr>
          <w:rFonts w:ascii="Times New Roman" w:eastAsia="DengXian" w:cs="Times New Roman" w:hint="eastAsia"/>
          <w:sz w:val="28"/>
          <w:lang w:eastAsia="zh-CN"/>
        </w:rPr>
        <w:t>由教育局课程发展处个人、社会及人文教育组制作。</w:t>
      </w:r>
      <w:r w:rsidRPr="00901425">
        <w:rPr>
          <w:rFonts w:ascii="標楷體" w:eastAsia="DengXian" w:hAnsi="標楷體" w:cs="Times New Roman" w:hint="eastAsia"/>
          <w:sz w:val="28"/>
          <w:szCs w:val="28"/>
          <w:lang w:eastAsia="zh-CN"/>
        </w:rPr>
        <w:t>动</w:t>
      </w:r>
      <w:r w:rsidRPr="00901425">
        <w:rPr>
          <w:rFonts w:ascii="標楷體" w:eastAsia="DengXian" w:hAnsi="標楷體" w:hint="eastAsia"/>
          <w:bCs/>
          <w:sz w:val="28"/>
          <w:szCs w:val="28"/>
          <w:lang w:eastAsia="zh-CN"/>
        </w:rPr>
        <w:t>画视像片段运用生活化例子深入浅出地扼要说明「多元共融」概念。</w:t>
      </w:r>
    </w:p>
    <w:p w14:paraId="7BAC2082" w14:textId="1032230B" w:rsidR="008D1E97" w:rsidRPr="00415A30" w:rsidRDefault="00B4234C" w:rsidP="00F0279F">
      <w:pPr>
        <w:spacing w:after="0"/>
        <w:jc w:val="center"/>
        <w:rPr>
          <w:rFonts w:ascii="標楷體" w:eastAsia="標楷體" w:hAnsi="標楷體" w:cs="新細明體"/>
          <w:color w:val="000000"/>
          <w:sz w:val="28"/>
          <w:szCs w:val="24"/>
        </w:rPr>
      </w:pPr>
      <w:r>
        <w:rPr>
          <w:rFonts w:ascii="Times New Roman" w:eastAsia="標楷體" w:hAnsi="Times New Roman" w:cs="Times New Roman"/>
          <w:noProof/>
          <w:color w:val="000000"/>
          <w:sz w:val="28"/>
          <w:szCs w:val="24"/>
        </w:rPr>
        <mc:AlternateContent>
          <mc:Choice Requires="wps">
            <w:drawing>
              <wp:anchor distT="0" distB="0" distL="114300" distR="114300" simplePos="0" relativeHeight="251665408" behindDoc="0" locked="0" layoutInCell="1" allowOverlap="1" wp14:anchorId="0050D12A" wp14:editId="22E24720">
                <wp:simplePos x="0" y="0"/>
                <wp:positionH relativeFrom="column">
                  <wp:posOffset>2153920</wp:posOffset>
                </wp:positionH>
                <wp:positionV relativeFrom="paragraph">
                  <wp:posOffset>1842135</wp:posOffset>
                </wp:positionV>
                <wp:extent cx="2550160" cy="350520"/>
                <wp:effectExtent l="0" t="0" r="21590" b="11430"/>
                <wp:wrapNone/>
                <wp:docPr id="2" name="文字方塊 2"/>
                <wp:cNvGraphicFramePr/>
                <a:graphic xmlns:a="http://schemas.openxmlformats.org/drawingml/2006/main">
                  <a:graphicData uri="http://schemas.microsoft.com/office/word/2010/wordprocessingShape">
                    <wps:wsp>
                      <wps:cNvSpPr txBox="1"/>
                      <wps:spPr>
                        <a:xfrm>
                          <a:off x="0" y="0"/>
                          <a:ext cx="2550160" cy="350520"/>
                        </a:xfrm>
                        <a:prstGeom prst="rect">
                          <a:avLst/>
                        </a:prstGeom>
                        <a:solidFill>
                          <a:schemeClr val="bg1"/>
                        </a:solidFill>
                        <a:ln w="6350">
                          <a:solidFill>
                            <a:schemeClr val="bg1"/>
                          </a:solidFill>
                        </a:ln>
                      </wps:spPr>
                      <wps:txbx>
                        <w:txbxContent>
                          <w:p w14:paraId="77C5F671" w14:textId="1B42CE84" w:rsidR="00B4234C" w:rsidRPr="00444E72" w:rsidRDefault="00901425" w:rsidP="00B4234C">
                            <w:pPr>
                              <w:pStyle w:val="a3"/>
                              <w:jc w:val="center"/>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1425">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901425">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901425">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08C5559" w14:textId="77777777" w:rsidR="00B4234C" w:rsidRPr="00444E72" w:rsidRDefault="00B4234C" w:rsidP="00B4234C">
                            <w:pPr>
                              <w:rPr>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0D12A" id="_x0000_t202" coordsize="21600,21600" o:spt="202" path="m,l,21600r21600,l21600,xe">
                <v:stroke joinstyle="miter"/>
                <v:path gradientshapeok="t" o:connecttype="rect"/>
              </v:shapetype>
              <v:shape id="文字方塊 2" o:spid="_x0000_s1026" type="#_x0000_t202" style="position:absolute;left:0;text-align:left;margin-left:169.6pt;margin-top:145.05pt;width:200.8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" fillcolor="white [3212]" strokecolor="white [3212]" strokeweight=".5pt">
                <v:textbox>
                  <w:txbxContent>
                    <w:p w14:paraId="77C5F671" w14:textId="1B42CE84" w:rsidR="00B4234C" w:rsidRPr="00444E72" w:rsidRDefault="00901425" w:rsidP="00B4234C">
                      <w:pPr>
                        <w:pStyle w:val="a3"/>
                        <w:jc w:val="center"/>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1425">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901425">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901425">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08C5559" w14:textId="77777777" w:rsidR="00B4234C" w:rsidRPr="00444E72" w:rsidRDefault="00B4234C" w:rsidP="00B4234C">
                      <w:pPr>
                        <w:rPr>
                          <w:color w:val="767171" w:themeColor="background2" w:themeShade="80"/>
                        </w:rPr>
                      </w:pPr>
                    </w:p>
                  </w:txbxContent>
                </v:textbox>
              </v:shape>
            </w:pict>
          </mc:Fallback>
        </mc:AlternateContent>
      </w:r>
      <w:r w:rsidR="002E19DE">
        <w:rPr>
          <w:rFonts w:ascii="標楷體" w:eastAsia="標楷體" w:hAnsi="標楷體" w:cs="新細明體"/>
          <w:noProof/>
          <w:color w:val="000000"/>
          <w:sz w:val="28"/>
          <w:szCs w:val="24"/>
        </w:rPr>
        <w:drawing>
          <wp:inline distT="0" distB="0" distL="0" distR="0" wp14:anchorId="5B79BD5E" wp14:editId="6862A4D3">
            <wp:extent cx="5239512" cy="2935224"/>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512" cy="2935224"/>
                    </a:xfrm>
                    <a:prstGeom prst="rect">
                      <a:avLst/>
                    </a:prstGeom>
                    <a:noFill/>
                    <a:ln>
                      <a:noFill/>
                    </a:ln>
                  </pic:spPr>
                </pic:pic>
              </a:graphicData>
            </a:graphic>
          </wp:inline>
        </w:drawing>
      </w:r>
    </w:p>
    <w:p w14:paraId="15682360" w14:textId="45E7FD16" w:rsidR="008D1E97" w:rsidRPr="005835EB" w:rsidRDefault="00901425" w:rsidP="00E51BE1">
      <w:pPr>
        <w:jc w:val="center"/>
        <w:rPr>
          <w:sz w:val="24"/>
          <w:szCs w:val="24"/>
        </w:rPr>
      </w:pPr>
      <w:r w:rsidRPr="00901425">
        <w:rPr>
          <w:rFonts w:ascii="標楷體" w:eastAsia="DengXian" w:hAnsi="標楷體" w:cs="Times New Roman" w:hint="eastAsia"/>
          <w:color w:val="000000"/>
          <w:sz w:val="24"/>
          <w:szCs w:val="24"/>
          <w:lang w:eastAsia="zh-CN"/>
        </w:rPr>
        <w:t>短片连结</w:t>
      </w:r>
      <w:r w:rsidRPr="00901425">
        <w:rPr>
          <w:rFonts w:ascii="標楷體" w:eastAsia="DengXian" w:hAnsi="標楷體" w:cs="Times New Roman" w:hint="eastAsia"/>
          <w:sz w:val="24"/>
          <w:szCs w:val="24"/>
          <w:lang w:eastAsia="zh-CN"/>
        </w:rPr>
        <w:t>：</w:t>
      </w:r>
      <w:hyperlink r:id="rId8" w:history="1">
        <w:r w:rsidRPr="00901425">
          <w:rPr>
            <w:rStyle w:val="a4"/>
            <w:rFonts w:ascii="Times New Roman" w:eastAsia="DengXian" w:hAnsi="Times New Roman" w:cs="Times New Roman"/>
            <w:sz w:val="24"/>
            <w:szCs w:val="24"/>
            <w:lang w:eastAsia="zh-CN"/>
          </w:rPr>
          <w:t>https://emm.edcity.hk/media/%E7%94%9F%E6%B4%BB%E8%88%87%E7%A4%BE%E6%9C%83%E3%80%8C%E4%B8%89%E5%88%86%E9%90%98%E6%A6%82%E5%BF%B5%E3%80%8D%E5%8B%95%E7%95%AB%E8%A6%96%E5%83%8F%E7%89%87%E6%AE%B5%E7%B3%BB%E5%88%97%EF%BC%9A%EF%BC%884%EF%BC%89%E5%A4%9A%E5%85%83%E5%85%B1%E8%9E%8D+%28%E9%85%8D%E4%BB%A5%E4%B8%AD%E6%96%87%E5%AD%97%E5%B9%95%29/1_7qk4btcv</w:t>
        </w:r>
      </w:hyperlink>
    </w:p>
    <w:p w14:paraId="4933924D" w14:textId="77777777" w:rsidR="0068749E" w:rsidRDefault="0068749E">
      <w:pPr>
        <w:rPr>
          <w:rFonts w:ascii="Times New Roman" w:eastAsia="DengXian" w:hAnsi="Times New Roman" w:cs="Times New Roman"/>
          <w:b/>
          <w:color w:val="000000"/>
          <w:sz w:val="28"/>
          <w:szCs w:val="28"/>
          <w:lang w:eastAsia="zh-CN"/>
        </w:rPr>
      </w:pPr>
      <w:r>
        <w:rPr>
          <w:rFonts w:ascii="Times New Roman" w:eastAsia="DengXian" w:cs="Times New Roman"/>
          <w:b/>
          <w:sz w:val="28"/>
          <w:szCs w:val="28"/>
          <w:lang w:eastAsia="zh-CN"/>
        </w:rPr>
        <w:br w:type="page"/>
      </w:r>
    </w:p>
    <w:p w14:paraId="5721CF00" w14:textId="747F0D71" w:rsidR="00E51BE1" w:rsidRPr="00A617CF" w:rsidRDefault="00901425" w:rsidP="00E51BE1">
      <w:pPr>
        <w:pStyle w:val="Default"/>
        <w:snapToGrid w:val="0"/>
        <w:jc w:val="both"/>
        <w:rPr>
          <w:rFonts w:ascii="Times New Roman" w:eastAsia="標楷體" w:cs="Times New Roman"/>
          <w:sz w:val="28"/>
          <w:szCs w:val="28"/>
        </w:rPr>
      </w:pPr>
      <w:r w:rsidRPr="00901425">
        <w:rPr>
          <w:rFonts w:ascii="Times New Roman" w:eastAsia="DengXian" w:cs="Times New Roman" w:hint="eastAsia"/>
          <w:b/>
          <w:sz w:val="28"/>
          <w:szCs w:val="28"/>
          <w:lang w:eastAsia="zh-CN"/>
        </w:rPr>
        <w:lastRenderedPageBreak/>
        <w:t>五</w:t>
      </w:r>
      <w:r w:rsidRPr="00901425">
        <w:rPr>
          <w:rFonts w:ascii="Times New Roman" w:eastAsia="DengXian" w:cs="Times New Roman"/>
          <w:b/>
          <w:sz w:val="28"/>
          <w:szCs w:val="28"/>
          <w:lang w:eastAsia="zh-CN"/>
        </w:rPr>
        <w:t xml:space="preserve">. </w:t>
      </w:r>
      <w:r w:rsidRPr="00901425">
        <w:rPr>
          <w:rFonts w:ascii="Times New Roman" w:eastAsia="DengXian" w:cs="Times New Roman" w:hint="eastAsia"/>
          <w:b/>
          <w:sz w:val="28"/>
          <w:szCs w:val="28"/>
          <w:lang w:eastAsia="zh-CN"/>
        </w:rPr>
        <w:t>教学提示</w:t>
      </w:r>
      <w:r w:rsidRPr="00901425">
        <w:rPr>
          <w:rFonts w:ascii="Times New Roman" w:eastAsia="DengXian" w:cs="Times New Roman" w:hint="eastAsia"/>
          <w:sz w:val="28"/>
          <w:szCs w:val="28"/>
          <w:lang w:eastAsia="zh-CN"/>
        </w:rPr>
        <w:t>：教师在向学生播放「多元共融」动画视像片段后，必须向学生说明以下要点：</w:t>
      </w:r>
    </w:p>
    <w:tbl>
      <w:tblPr>
        <w:tblStyle w:val="ad"/>
        <w:tblW w:w="8275" w:type="dxa"/>
        <w:tblLayout w:type="fixed"/>
        <w:tblLook w:val="04A0" w:firstRow="1" w:lastRow="0" w:firstColumn="1" w:lastColumn="0" w:noHBand="0" w:noVBand="1"/>
      </w:tblPr>
      <w:tblGrid>
        <w:gridCol w:w="1838"/>
        <w:gridCol w:w="6437"/>
      </w:tblGrid>
      <w:tr w:rsidR="00A51E79" w:rsidRPr="00A617CF" w14:paraId="006AE945" w14:textId="77777777" w:rsidTr="00A048D0">
        <w:tc>
          <w:tcPr>
            <w:tcW w:w="1838" w:type="dxa"/>
          </w:tcPr>
          <w:p w14:paraId="470F0486" w14:textId="771925E3" w:rsidR="00A51E79" w:rsidRPr="005835EB" w:rsidRDefault="00901425" w:rsidP="00E51BE1">
            <w:pPr>
              <w:snapToGrid w:val="0"/>
              <w:jc w:val="both"/>
              <w:rPr>
                <w:rFonts w:ascii="標楷體" w:eastAsia="標楷體" w:hAnsi="標楷體" w:cs="Times New Roman"/>
                <w:color w:val="000000"/>
                <w:kern w:val="0"/>
                <w:sz w:val="28"/>
                <w:szCs w:val="28"/>
                <w:lang w:eastAsia="zh-HK"/>
              </w:rPr>
            </w:pPr>
            <w:r w:rsidRPr="00901425">
              <w:rPr>
                <w:rFonts w:ascii="標楷體" w:eastAsia="DengXian" w:hAnsi="標楷體" w:cs="Times New Roman"/>
                <w:kern w:val="0"/>
                <w:sz w:val="28"/>
                <w:szCs w:val="28"/>
                <w:lang w:eastAsia="zh-CN"/>
              </w:rPr>
              <w:t xml:space="preserve">1) </w:t>
            </w:r>
            <w:r w:rsidRPr="00901425">
              <w:rPr>
                <w:rFonts w:ascii="標楷體" w:eastAsia="DengXian" w:hAnsi="標楷體" w:cs="Times New Roman" w:hint="eastAsia"/>
                <w:kern w:val="0"/>
                <w:sz w:val="28"/>
                <w:szCs w:val="28"/>
                <w:lang w:eastAsia="zh-CN"/>
              </w:rPr>
              <w:t>权利与义务并重</w:t>
            </w:r>
          </w:p>
        </w:tc>
        <w:tc>
          <w:tcPr>
            <w:tcW w:w="6437" w:type="dxa"/>
          </w:tcPr>
          <w:p w14:paraId="262D5422" w14:textId="14DE8AF9" w:rsidR="00E34D15" w:rsidRPr="00E34D15" w:rsidRDefault="00901425" w:rsidP="00444E72">
            <w:pPr>
              <w:shd w:val="clear" w:color="auto" w:fill="FFFFFF"/>
              <w:snapToGrid w:val="0"/>
              <w:jc w:val="both"/>
              <w:rPr>
                <w:rFonts w:ascii="標楷體" w:eastAsia="標楷體" w:hAnsi="標楷體" w:cs="Times New Roman"/>
                <w:sz w:val="28"/>
                <w:szCs w:val="28"/>
                <w:lang w:eastAsia="zh-HK"/>
              </w:rPr>
            </w:pPr>
            <w:r w:rsidRPr="00901425">
              <w:rPr>
                <w:rFonts w:ascii="標楷體" w:eastAsia="DengXian" w:hAnsi="標楷體" w:cs="Times New Roman" w:hint="eastAsia"/>
                <w:sz w:val="28"/>
                <w:szCs w:val="28"/>
                <w:lang w:eastAsia="zh-CN"/>
              </w:rPr>
              <w:t>教师在教授学生公平对待不同背景人士，尊重他们在社会上的权利时，必须同时指出应欣赏他们为社会作出的贡献，以鼓励社会各成员继续履行作为香港居民的义务。有关香港居民的基本权利和义务，可参阅以下网页</w:t>
            </w:r>
            <w:r w:rsidRPr="00901425">
              <w:rPr>
                <w:rFonts w:ascii="標楷體" w:eastAsia="DengXian" w:hAnsi="標楷體" w:cs="Times New Roman"/>
                <w:sz w:val="28"/>
                <w:szCs w:val="28"/>
                <w:lang w:eastAsia="zh-CN"/>
              </w:rPr>
              <w:t>:</w:t>
            </w:r>
          </w:p>
          <w:p w14:paraId="340172D2" w14:textId="0C0E4326" w:rsidR="00E34D15" w:rsidRPr="00E34D15" w:rsidRDefault="00901425" w:rsidP="00E34D15">
            <w:pPr>
              <w:shd w:val="clear" w:color="auto" w:fill="FFFFFF"/>
              <w:snapToGrid w:val="0"/>
              <w:rPr>
                <w:rFonts w:ascii="標楷體" w:eastAsia="標楷體" w:hAnsi="標楷體" w:cs="Times New Roman"/>
                <w:sz w:val="28"/>
                <w:szCs w:val="28"/>
                <w:lang w:eastAsia="zh-HK"/>
              </w:rPr>
            </w:pPr>
            <w:r w:rsidRPr="00901425">
              <w:rPr>
                <w:rFonts w:ascii="標楷體" w:eastAsia="DengXian" w:hAnsi="標楷體" w:cs="Times New Roman" w:hint="eastAsia"/>
                <w:sz w:val="28"/>
                <w:szCs w:val="28"/>
                <w:lang w:eastAsia="zh-CN"/>
              </w:rPr>
              <w:t>《基本法》第三章–居民的基本权利和义务</w:t>
            </w:r>
          </w:p>
          <w:p w14:paraId="369EAD4B" w14:textId="7105E8AF" w:rsidR="00EF79C3" w:rsidRPr="00742E0D" w:rsidRDefault="00233264" w:rsidP="00E34D15">
            <w:pPr>
              <w:shd w:val="clear" w:color="auto" w:fill="FFFFFF"/>
              <w:snapToGrid w:val="0"/>
              <w:rPr>
                <w:rFonts w:ascii="Times New Roman" w:eastAsia="標楷體" w:hAnsi="Times New Roman" w:cs="Times New Roman"/>
                <w:color w:val="000000"/>
                <w:kern w:val="0"/>
                <w:sz w:val="28"/>
                <w:szCs w:val="28"/>
                <w:lang w:eastAsia="zh-HK"/>
              </w:rPr>
            </w:pPr>
            <w:hyperlink r:id="rId9" w:history="1">
              <w:r w:rsidR="00901425" w:rsidRPr="00901425">
                <w:rPr>
                  <w:rFonts w:ascii="Times New Roman" w:eastAsia="DengXian" w:hAnsi="Calibri" w:cs="Times New Roman"/>
                  <w:color w:val="0563C1"/>
                  <w:kern w:val="0"/>
                  <w:sz w:val="28"/>
                  <w:szCs w:val="28"/>
                  <w:u w:val="single"/>
                  <w:lang w:eastAsia="zh-CN"/>
                </w:rPr>
                <w:t>https://www.basiclaw.gov.hk/tc/basiclaw/chapter3.html</w:t>
              </w:r>
            </w:hyperlink>
          </w:p>
        </w:tc>
      </w:tr>
      <w:tr w:rsidR="00F26916" w:rsidRPr="00A617CF" w14:paraId="7C0FC24C" w14:textId="77777777" w:rsidTr="00A048D0">
        <w:tc>
          <w:tcPr>
            <w:tcW w:w="1838" w:type="dxa"/>
          </w:tcPr>
          <w:p w14:paraId="2083B96F" w14:textId="2C83FCB9" w:rsidR="00F26916" w:rsidRPr="005835EB" w:rsidRDefault="00901425" w:rsidP="00317851">
            <w:pPr>
              <w:snapToGrid w:val="0"/>
              <w:jc w:val="both"/>
              <w:rPr>
                <w:rFonts w:ascii="標楷體" w:eastAsia="標楷體" w:hAnsi="標楷體" w:cs="Times New Roman"/>
                <w:color w:val="000000"/>
                <w:sz w:val="28"/>
                <w:szCs w:val="28"/>
              </w:rPr>
            </w:pPr>
            <w:r w:rsidRPr="00901425">
              <w:rPr>
                <w:rFonts w:ascii="標楷體" w:eastAsia="DengXian" w:hAnsi="標楷體" w:cs="Times New Roman"/>
                <w:color w:val="000000"/>
                <w:sz w:val="28"/>
                <w:szCs w:val="28"/>
                <w:lang w:eastAsia="zh-CN"/>
              </w:rPr>
              <w:t xml:space="preserve">2) </w:t>
            </w:r>
            <w:r w:rsidRPr="00901425">
              <w:rPr>
                <w:rFonts w:ascii="標楷體" w:eastAsia="DengXian" w:hAnsi="標楷體" w:cs="Times New Roman" w:hint="eastAsia"/>
                <w:color w:val="000000"/>
                <w:sz w:val="28"/>
                <w:szCs w:val="28"/>
                <w:lang w:eastAsia="zh-CN"/>
              </w:rPr>
              <w:t>香港特别行政区政府的促进「多元共融」政策</w:t>
            </w:r>
          </w:p>
        </w:tc>
        <w:tc>
          <w:tcPr>
            <w:tcW w:w="6437" w:type="dxa"/>
          </w:tcPr>
          <w:p w14:paraId="786DA818" w14:textId="2A026F3D" w:rsidR="00E34D15" w:rsidRPr="00E34D15" w:rsidRDefault="00901425" w:rsidP="00444E72">
            <w:pPr>
              <w:shd w:val="clear" w:color="auto" w:fill="FFFFFF"/>
              <w:snapToGrid w:val="0"/>
              <w:jc w:val="both"/>
              <w:rPr>
                <w:rFonts w:ascii="標楷體" w:eastAsia="標楷體" w:hAnsi="標楷體" w:cs="Times New Roman"/>
                <w:color w:val="000000"/>
                <w:sz w:val="28"/>
                <w:szCs w:val="28"/>
                <w:lang w:eastAsia="zh-HK"/>
              </w:rPr>
            </w:pPr>
            <w:r w:rsidRPr="00901425">
              <w:rPr>
                <w:rFonts w:ascii="標楷體" w:eastAsia="DengXian" w:hAnsi="標楷體" w:cs="Times New Roman" w:hint="eastAsia"/>
                <w:color w:val="000000"/>
                <w:sz w:val="28"/>
                <w:szCs w:val="28"/>
                <w:lang w:eastAsia="zh-CN"/>
              </w:rPr>
              <w:t>教师应向学生指出「多元共融」政策的重点在于政府致力建立共融社会，让每个人不论背景，在不同生活范畴都享有平等的机会和尊重，并在有需要时可以获得协助。政府为残疾人士、少数族裔、新来港人士及贫困人士提供了大量教育、就业及其他支援服务，帮助他们融入社群。就具体的社会共融政策内容，可参阅以下网页</w:t>
            </w:r>
            <w:r w:rsidRPr="00901425">
              <w:rPr>
                <w:rFonts w:ascii="標楷體" w:eastAsia="DengXian" w:hAnsi="標楷體" w:cs="Times New Roman"/>
                <w:color w:val="000000"/>
                <w:sz w:val="28"/>
                <w:szCs w:val="28"/>
                <w:lang w:eastAsia="zh-CN"/>
              </w:rPr>
              <w:t>:</w:t>
            </w:r>
          </w:p>
          <w:p w14:paraId="21D6A515" w14:textId="4A530FF2" w:rsidR="00E34D15" w:rsidRPr="00E34D15" w:rsidRDefault="00901425" w:rsidP="00E34D15">
            <w:pPr>
              <w:shd w:val="clear" w:color="auto" w:fill="FFFFFF"/>
              <w:snapToGrid w:val="0"/>
              <w:rPr>
                <w:rFonts w:ascii="標楷體" w:eastAsia="標楷體" w:hAnsi="標楷體" w:cs="Times New Roman"/>
                <w:color w:val="000000"/>
                <w:sz w:val="28"/>
                <w:szCs w:val="28"/>
                <w:lang w:eastAsia="zh-HK"/>
              </w:rPr>
            </w:pPr>
            <w:r w:rsidRPr="00901425">
              <w:rPr>
                <w:rFonts w:ascii="標楷體" w:eastAsia="DengXian" w:hAnsi="標楷體" w:cs="Times New Roman" w:hint="eastAsia"/>
                <w:color w:val="000000"/>
                <w:sz w:val="28"/>
                <w:szCs w:val="28"/>
                <w:lang w:eastAsia="zh-CN"/>
              </w:rPr>
              <w:t>香港政府一站通–促进社会共融</w:t>
            </w:r>
          </w:p>
          <w:p w14:paraId="4287D857" w14:textId="3041EF65" w:rsidR="00E34D15" w:rsidRPr="00D56E27" w:rsidRDefault="00233264" w:rsidP="00E34D15">
            <w:pPr>
              <w:shd w:val="clear" w:color="auto" w:fill="FFFFFF"/>
              <w:snapToGrid w:val="0"/>
              <w:spacing w:after="160" w:line="259" w:lineRule="auto"/>
              <w:rPr>
                <w:rFonts w:ascii="Times New Roman" w:eastAsia="標楷體" w:cs="Times New Roman"/>
                <w:color w:val="0563C1"/>
                <w:kern w:val="0"/>
                <w:sz w:val="28"/>
                <w:szCs w:val="28"/>
                <w:u w:val="single"/>
                <w:lang w:eastAsia="zh-HK"/>
              </w:rPr>
            </w:pPr>
            <w:hyperlink r:id="rId10" w:history="1">
              <w:r w:rsidR="00901425" w:rsidRPr="00901425">
                <w:rPr>
                  <w:rFonts w:ascii="Times New Roman" w:eastAsia="DengXian" w:cs="Times New Roman"/>
                  <w:color w:val="0563C1"/>
                  <w:kern w:val="0"/>
                  <w:sz w:val="28"/>
                  <w:szCs w:val="28"/>
                  <w:u w:val="single"/>
                  <w:lang w:eastAsia="zh-CN"/>
                </w:rPr>
                <w:t>https://www.gov.hk/tc/residents/housing/socialservices/youth/SocialInclusion.htm</w:t>
              </w:r>
            </w:hyperlink>
          </w:p>
          <w:p w14:paraId="708366E8" w14:textId="09E610BA" w:rsidR="00E34D15" w:rsidRPr="00E34D15" w:rsidRDefault="00901425" w:rsidP="00E34D15">
            <w:pPr>
              <w:pStyle w:val="a5"/>
              <w:numPr>
                <w:ilvl w:val="0"/>
                <w:numId w:val="4"/>
              </w:numPr>
              <w:shd w:val="clear" w:color="auto" w:fill="FFFFFF"/>
              <w:snapToGrid w:val="0"/>
              <w:ind w:left="0" w:hanging="482"/>
              <w:contextualSpacing w:val="0"/>
              <w:rPr>
                <w:rFonts w:ascii="Times New Roman" w:eastAsia="標楷體" w:hAnsi="Times New Roman" w:cs="Times New Roman"/>
                <w:color w:val="000000"/>
                <w:sz w:val="28"/>
                <w:szCs w:val="28"/>
                <w:lang w:eastAsia="zh-HK"/>
              </w:rPr>
            </w:pPr>
            <w:r w:rsidRPr="00901425">
              <w:rPr>
                <w:rFonts w:ascii="標楷體" w:eastAsia="DengXian" w:hAnsi="標楷體" w:cs="Times New Roman" w:hint="eastAsia"/>
                <w:kern w:val="0"/>
                <w:sz w:val="28"/>
                <w:szCs w:val="28"/>
                <w:lang w:eastAsia="zh-CN"/>
              </w:rPr>
              <w:t>教师应该向学生指出，不同社会成员均可积极发挥自己的优势共同建立多元共融的社会，这才是香港赖以成功的因素。</w:t>
            </w:r>
          </w:p>
        </w:tc>
      </w:tr>
      <w:tr w:rsidR="006562C9" w:rsidRPr="00A617CF" w14:paraId="1106D5FD" w14:textId="77777777" w:rsidTr="00A048D0">
        <w:tc>
          <w:tcPr>
            <w:tcW w:w="1838" w:type="dxa"/>
          </w:tcPr>
          <w:p w14:paraId="039DCCBB" w14:textId="348FD77E" w:rsidR="006562C9" w:rsidRPr="005835EB" w:rsidRDefault="00901425" w:rsidP="00317851">
            <w:pPr>
              <w:snapToGrid w:val="0"/>
              <w:jc w:val="both"/>
              <w:rPr>
                <w:rFonts w:ascii="標楷體" w:eastAsia="標楷體" w:hAnsi="標楷體" w:cs="Times New Roman"/>
                <w:color w:val="000000"/>
                <w:sz w:val="28"/>
                <w:szCs w:val="28"/>
              </w:rPr>
            </w:pPr>
            <w:r w:rsidRPr="00901425">
              <w:rPr>
                <w:rFonts w:ascii="標楷體" w:eastAsia="DengXian" w:hAnsi="標楷體" w:cs="Times New Roman"/>
                <w:color w:val="000000"/>
                <w:sz w:val="28"/>
                <w:szCs w:val="28"/>
                <w:lang w:eastAsia="zh-CN"/>
              </w:rPr>
              <w:t>3)</w:t>
            </w:r>
            <w:r w:rsidRPr="00901425">
              <w:rPr>
                <w:rFonts w:ascii="標楷體" w:eastAsia="DengXian" w:hAnsi="標楷體" w:cs="Times New Roman"/>
                <w:kern w:val="0"/>
                <w:sz w:val="28"/>
                <w:szCs w:val="28"/>
                <w:lang w:eastAsia="zh-CN"/>
              </w:rPr>
              <w:t xml:space="preserve"> </w:t>
            </w:r>
            <w:r w:rsidRPr="00901425">
              <w:rPr>
                <w:rFonts w:ascii="標楷體" w:eastAsia="DengXian" w:hAnsi="標楷體" w:cs="Times New Roman" w:hint="eastAsia"/>
                <w:kern w:val="0"/>
                <w:sz w:val="28"/>
                <w:szCs w:val="28"/>
                <w:lang w:eastAsia="zh-CN"/>
              </w:rPr>
              <w:t>达致</w:t>
            </w:r>
            <w:r w:rsidRPr="00901425">
              <w:rPr>
                <w:rFonts w:ascii="標楷體" w:eastAsia="DengXian" w:hAnsi="標楷體" w:cs="Times New Roman" w:hint="eastAsia"/>
                <w:color w:val="000000"/>
                <w:sz w:val="28"/>
                <w:szCs w:val="28"/>
                <w:lang w:eastAsia="zh-CN"/>
              </w:rPr>
              <w:t>「多元共融」有赖社会同心协力共同建构</w:t>
            </w:r>
          </w:p>
        </w:tc>
        <w:tc>
          <w:tcPr>
            <w:tcW w:w="6437" w:type="dxa"/>
          </w:tcPr>
          <w:p w14:paraId="57C3E3CB" w14:textId="489028AE" w:rsidR="006562C9" w:rsidRPr="00AB35BE" w:rsidRDefault="00901425" w:rsidP="00444E72">
            <w:pPr>
              <w:shd w:val="clear" w:color="auto" w:fill="FFFFFF"/>
              <w:snapToGrid w:val="0"/>
              <w:jc w:val="both"/>
              <w:rPr>
                <w:rFonts w:ascii="標楷體" w:eastAsia="標楷體" w:hAnsi="標楷體" w:cs="Times New Roman"/>
                <w:color w:val="000000"/>
                <w:sz w:val="28"/>
                <w:szCs w:val="28"/>
                <w:lang w:eastAsia="zh-HK"/>
              </w:rPr>
            </w:pPr>
            <w:r w:rsidRPr="00901425">
              <w:rPr>
                <w:rFonts w:ascii="標楷體" w:eastAsia="DengXian" w:hAnsi="標楷體" w:cs="Times New Roman" w:hint="eastAsia"/>
                <w:kern w:val="0"/>
                <w:sz w:val="28"/>
                <w:szCs w:val="28"/>
                <w:lang w:eastAsia="zh-CN"/>
              </w:rPr>
              <w:t>教师应向学生指出除了政府以外，私人机构、志愿团体和社会个体各有不同的积极角色与责任。建议教师向学生说明私人机构在促进共融的社会责任和具体行动；志愿团体在推动共融有何优势；以及个人可以如何履行公民责任，协助建构多元共融的社会。</w:t>
            </w:r>
          </w:p>
        </w:tc>
      </w:tr>
      <w:tr w:rsidR="006562C9" w:rsidRPr="00A617CF" w14:paraId="44544F45" w14:textId="77777777" w:rsidTr="00A048D0">
        <w:tc>
          <w:tcPr>
            <w:tcW w:w="1838" w:type="dxa"/>
          </w:tcPr>
          <w:p w14:paraId="4E4C0C52" w14:textId="62E6FAB7" w:rsidR="006562C9" w:rsidRPr="00273636" w:rsidRDefault="00901425" w:rsidP="00317851">
            <w:pPr>
              <w:snapToGrid w:val="0"/>
              <w:jc w:val="both"/>
              <w:rPr>
                <w:rFonts w:ascii="標楷體" w:eastAsia="標楷體" w:hAnsi="標楷體" w:cs="Times New Roman"/>
                <w:color w:val="000000"/>
                <w:sz w:val="28"/>
                <w:szCs w:val="28"/>
              </w:rPr>
            </w:pPr>
            <w:r w:rsidRPr="00901425">
              <w:rPr>
                <w:rFonts w:ascii="標楷體" w:eastAsia="DengXian" w:hAnsi="標楷體" w:cs="Times New Roman"/>
                <w:color w:val="000000"/>
                <w:sz w:val="28"/>
                <w:szCs w:val="28"/>
                <w:lang w:eastAsia="zh-CN"/>
              </w:rPr>
              <w:t xml:space="preserve">4) </w:t>
            </w:r>
            <w:r w:rsidRPr="00901425">
              <w:rPr>
                <w:rFonts w:ascii="標楷體" w:eastAsia="DengXian" w:hAnsi="標楷體" w:cs="Times New Roman" w:hint="eastAsia"/>
                <w:kern w:val="0"/>
                <w:sz w:val="28"/>
                <w:szCs w:val="28"/>
                <w:lang w:eastAsia="zh-CN"/>
              </w:rPr>
              <w:t>提防误解「多元共融」的概念</w:t>
            </w:r>
          </w:p>
        </w:tc>
        <w:tc>
          <w:tcPr>
            <w:tcW w:w="6437" w:type="dxa"/>
          </w:tcPr>
          <w:p w14:paraId="56819595" w14:textId="4F0CDE00" w:rsidR="006562C9" w:rsidRPr="00AB35BE" w:rsidRDefault="00901425" w:rsidP="00444E72">
            <w:pPr>
              <w:shd w:val="clear" w:color="auto" w:fill="FFFFFF"/>
              <w:snapToGrid w:val="0"/>
              <w:jc w:val="both"/>
              <w:rPr>
                <w:rFonts w:ascii="標楷體" w:eastAsia="標楷體" w:hAnsi="標楷體" w:cs="Times New Roman"/>
                <w:color w:val="000000"/>
                <w:sz w:val="28"/>
                <w:szCs w:val="28"/>
                <w:lang w:eastAsia="zh-HK"/>
              </w:rPr>
            </w:pPr>
            <w:r w:rsidRPr="00901425">
              <w:rPr>
                <w:rFonts w:ascii="標楷體" w:eastAsia="DengXian" w:hAnsi="標楷體" w:cs="Times New Roman" w:hint="eastAsia"/>
                <w:kern w:val="0"/>
                <w:sz w:val="28"/>
                <w:szCs w:val="28"/>
                <w:lang w:eastAsia="zh-CN"/>
              </w:rPr>
              <w:t>教师应向学生指出「多元共融」政策的重点在于政府致力建立共融社会，让每个人不论背景，都享有平等的机会，并在有需要时可以获得协助。简而言之，提供公平机会和额外协助，比规定人人得到一律相等的结果更为重要。建议教师向学生讲解单以相等结果来衡量一个社会的多元共融政策的成效并不适切；教师应该向学生指出，不同社会成员可积极发挥自己的优势共同建立多元共融的社会。在社会达至多元共融时，人人可以在过程中发挥干劲，才是香港赖以成功的因素。</w:t>
            </w:r>
          </w:p>
        </w:tc>
      </w:tr>
      <w:tr w:rsidR="006562C9" w:rsidRPr="00A617CF" w14:paraId="4D1DC754" w14:textId="77777777" w:rsidTr="00A048D0">
        <w:tc>
          <w:tcPr>
            <w:tcW w:w="1838" w:type="dxa"/>
          </w:tcPr>
          <w:p w14:paraId="7171D13F" w14:textId="55053F5B" w:rsidR="006562C9" w:rsidRPr="005835EB" w:rsidRDefault="00901425" w:rsidP="00317851">
            <w:pPr>
              <w:snapToGrid w:val="0"/>
              <w:jc w:val="both"/>
              <w:rPr>
                <w:rFonts w:ascii="標楷體" w:eastAsia="標楷體" w:hAnsi="標楷體" w:cs="Times New Roman"/>
                <w:color w:val="000000"/>
                <w:sz w:val="28"/>
                <w:szCs w:val="28"/>
              </w:rPr>
            </w:pPr>
            <w:r w:rsidRPr="00901425">
              <w:rPr>
                <w:rFonts w:ascii="標楷體" w:eastAsia="DengXian" w:hAnsi="標楷體" w:cs="Times New Roman"/>
                <w:kern w:val="0"/>
                <w:sz w:val="28"/>
                <w:szCs w:val="28"/>
                <w:lang w:eastAsia="zh-CN"/>
              </w:rPr>
              <w:t xml:space="preserve">5) </w:t>
            </w:r>
            <w:r w:rsidRPr="00901425">
              <w:rPr>
                <w:rFonts w:ascii="標楷體" w:eastAsia="DengXian" w:hAnsi="標楷體" w:cs="Times New Roman" w:hint="eastAsia"/>
                <w:kern w:val="0"/>
                <w:sz w:val="28"/>
                <w:szCs w:val="28"/>
                <w:lang w:eastAsia="zh-CN"/>
              </w:rPr>
              <w:t>理解「多元共融」需代入情境</w:t>
            </w:r>
          </w:p>
        </w:tc>
        <w:tc>
          <w:tcPr>
            <w:tcW w:w="6437" w:type="dxa"/>
          </w:tcPr>
          <w:p w14:paraId="36754D28" w14:textId="7EEB2520" w:rsidR="006562C9" w:rsidRPr="00AB35BE" w:rsidRDefault="00901425" w:rsidP="00444E72">
            <w:pPr>
              <w:shd w:val="clear" w:color="auto" w:fill="FFFFFF"/>
              <w:snapToGrid w:val="0"/>
              <w:jc w:val="both"/>
              <w:rPr>
                <w:rFonts w:ascii="標楷體" w:eastAsia="標楷體" w:hAnsi="標楷體" w:cs="Times New Roman"/>
                <w:color w:val="000000"/>
                <w:sz w:val="28"/>
                <w:szCs w:val="28"/>
                <w:lang w:eastAsia="zh-HK"/>
              </w:rPr>
            </w:pPr>
            <w:r w:rsidRPr="00901425">
              <w:rPr>
                <w:rFonts w:ascii="標楷體" w:eastAsia="DengXian" w:hAnsi="標楷體" w:cs="Times New Roman" w:hint="eastAsia"/>
                <w:kern w:val="0"/>
                <w:sz w:val="28"/>
                <w:szCs w:val="28"/>
                <w:lang w:eastAsia="zh-CN"/>
              </w:rPr>
              <w:t>教师应向学生指出「多元共融」为一抽象概念，学生需代入相关情境才能整全地掌握多元共融的要素。建议教师以学校及社会情境，引导学生建立对残疾人士、少数族裔、新来港人士及贫困人士互相包容、接纳、尊重的态度。让学生明白多元共融能让市民尊重别人的权利和义务，从而提升对香港社会的归属感及凝聚力，令香港社会能更和谐、稳定和充满动力地发展。</w:t>
            </w:r>
          </w:p>
        </w:tc>
      </w:tr>
    </w:tbl>
    <w:p w14:paraId="5960B442" w14:textId="77777777" w:rsidR="00901425" w:rsidRDefault="00901425" w:rsidP="003B41D5">
      <w:pPr>
        <w:snapToGrid w:val="0"/>
        <w:spacing w:after="0"/>
        <w:rPr>
          <w:rFonts w:ascii="Times New Roman" w:eastAsia="DengXian" w:cs="Times New Roman"/>
          <w:b/>
          <w:sz w:val="28"/>
          <w:szCs w:val="28"/>
          <w:lang w:eastAsia="zh-CN"/>
        </w:rPr>
      </w:pPr>
    </w:p>
    <w:p w14:paraId="0A74CC84" w14:textId="500B3798" w:rsidR="003B41D5" w:rsidRPr="00BF0D07" w:rsidRDefault="00901425" w:rsidP="003B41D5">
      <w:pPr>
        <w:snapToGrid w:val="0"/>
        <w:spacing w:after="0"/>
        <w:rPr>
          <w:rFonts w:ascii="標楷體" w:eastAsia="標楷體" w:hAnsi="標楷體"/>
          <w:bCs/>
          <w:sz w:val="28"/>
          <w:szCs w:val="28"/>
          <w:lang w:eastAsia="zh-HK"/>
        </w:rPr>
      </w:pPr>
      <w:r w:rsidRPr="00901425">
        <w:rPr>
          <w:rFonts w:ascii="Times New Roman" w:eastAsia="DengXian" w:cs="Times New Roman" w:hint="eastAsia"/>
          <w:b/>
          <w:sz w:val="28"/>
          <w:szCs w:val="28"/>
          <w:lang w:eastAsia="zh-CN"/>
        </w:rPr>
        <w:t>六</w:t>
      </w:r>
      <w:r w:rsidRPr="00901425">
        <w:rPr>
          <w:rFonts w:ascii="Times New Roman" w:eastAsia="DengXian" w:cs="Times New Roman"/>
          <w:b/>
          <w:sz w:val="28"/>
          <w:szCs w:val="28"/>
          <w:lang w:eastAsia="zh-CN"/>
        </w:rPr>
        <w:t xml:space="preserve">. </w:t>
      </w:r>
      <w:r w:rsidRPr="00901425">
        <w:rPr>
          <w:rFonts w:ascii="標楷體" w:eastAsia="DengXian" w:hAnsi="標楷體" w:hint="eastAsia"/>
          <w:b/>
          <w:bCs/>
          <w:sz w:val="28"/>
          <w:szCs w:val="28"/>
          <w:lang w:eastAsia="zh-CN"/>
        </w:rPr>
        <w:t>巩固学习问题</w:t>
      </w:r>
      <w:r w:rsidRPr="00901425">
        <w:rPr>
          <w:rFonts w:ascii="標楷體" w:eastAsia="DengXian" w:hAnsi="標楷體" w:hint="eastAsia"/>
          <w:bCs/>
          <w:sz w:val="28"/>
          <w:szCs w:val="28"/>
          <w:lang w:eastAsia="zh-CN"/>
        </w:rPr>
        <w:t>：（见下页）</w:t>
      </w:r>
    </w:p>
    <w:p w14:paraId="3DD6A61E"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6EAF8F48"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6018BACF"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FC38891"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7B5AF5B1"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6B909164"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426A08B"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78E9A7AB"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36D24DA6"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3CF99CF7"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4F078A65"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6F551649"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E44E74E"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46A6DAF"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1FE9DF4"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3FFE6924"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1E145934"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0DAEF28A"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0B9B5906"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61B2FA31"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A3520CA"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5337A9F1"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197F641C"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47304CAE" w14:textId="77777777" w:rsidR="005E6E90" w:rsidRDefault="005E6E90" w:rsidP="003133EB">
      <w:pPr>
        <w:snapToGrid w:val="0"/>
        <w:spacing w:after="0" w:line="240" w:lineRule="auto"/>
        <w:jc w:val="center"/>
        <w:rPr>
          <w:rFonts w:ascii="標楷體" w:eastAsia="標楷體" w:hAnsi="標楷體"/>
          <w:b/>
          <w:sz w:val="28"/>
          <w:szCs w:val="28"/>
          <w:lang w:eastAsia="zh-HK"/>
        </w:rPr>
      </w:pPr>
    </w:p>
    <w:p w14:paraId="2E4CF54C" w14:textId="0EA4C6D4" w:rsidR="003133EB" w:rsidRPr="00210508" w:rsidRDefault="00901425" w:rsidP="003133EB">
      <w:pPr>
        <w:snapToGrid w:val="0"/>
        <w:spacing w:after="0" w:line="240" w:lineRule="auto"/>
        <w:jc w:val="center"/>
        <w:rPr>
          <w:rFonts w:ascii="標楷體" w:eastAsia="標楷體" w:hAnsi="標楷體"/>
          <w:b/>
          <w:sz w:val="28"/>
          <w:szCs w:val="28"/>
          <w:lang w:eastAsia="zh-HK"/>
        </w:rPr>
      </w:pPr>
      <w:r w:rsidRPr="00901425">
        <w:rPr>
          <w:rFonts w:ascii="標楷體" w:eastAsia="DengXian" w:hAnsi="標楷體" w:hint="eastAsia"/>
          <w:b/>
          <w:sz w:val="28"/>
          <w:szCs w:val="28"/>
          <w:lang w:eastAsia="zh-CN"/>
        </w:rPr>
        <w:t>「三分钟概念」动画视像片段</w:t>
      </w:r>
      <w:r w:rsidRPr="00901425">
        <w:rPr>
          <w:rFonts w:ascii="標楷體" w:eastAsia="DengXian" w:hAnsi="標楷體" w:hint="eastAsia"/>
          <w:b/>
          <w:bCs/>
          <w:sz w:val="28"/>
          <w:szCs w:val="28"/>
          <w:lang w:eastAsia="zh-CN"/>
        </w:rPr>
        <w:t>系列：</w:t>
      </w:r>
    </w:p>
    <w:p w14:paraId="596B3AA0" w14:textId="73F53DD2" w:rsidR="003B41D5" w:rsidRDefault="00901425" w:rsidP="003133EB">
      <w:pPr>
        <w:snapToGrid w:val="0"/>
        <w:spacing w:after="0" w:line="240" w:lineRule="auto"/>
        <w:jc w:val="center"/>
        <w:rPr>
          <w:rFonts w:ascii="標楷體" w:eastAsia="標楷體" w:hAnsi="標楷體"/>
          <w:b/>
          <w:sz w:val="28"/>
          <w:szCs w:val="28"/>
          <w:lang w:eastAsia="zh-HK"/>
        </w:rPr>
      </w:pPr>
      <w:r w:rsidRPr="00901425">
        <w:rPr>
          <w:rFonts w:ascii="標楷體" w:eastAsia="DengXian" w:hAnsi="標楷體" w:hint="eastAsia"/>
          <w:b/>
          <w:sz w:val="28"/>
          <w:szCs w:val="28"/>
          <w:lang w:eastAsia="zh-CN"/>
        </w:rPr>
        <w:t>「多元共融」</w:t>
      </w:r>
    </w:p>
    <w:p w14:paraId="01B4FA0D" w14:textId="309071D1" w:rsidR="003133EB" w:rsidRPr="00210508" w:rsidRDefault="00901425" w:rsidP="003133EB">
      <w:pPr>
        <w:snapToGrid w:val="0"/>
        <w:spacing w:after="0" w:line="240" w:lineRule="auto"/>
        <w:jc w:val="center"/>
        <w:rPr>
          <w:rFonts w:ascii="標楷體" w:eastAsia="標楷體" w:hAnsi="標楷體"/>
          <w:b/>
          <w:sz w:val="28"/>
          <w:szCs w:val="28"/>
          <w:lang w:eastAsia="zh-HK"/>
        </w:rPr>
      </w:pPr>
      <w:r w:rsidRPr="00901425">
        <w:rPr>
          <w:rFonts w:ascii="標楷體" w:eastAsia="DengXian" w:hAnsi="標楷體" w:hint="eastAsia"/>
          <w:b/>
          <w:sz w:val="28"/>
          <w:szCs w:val="28"/>
          <w:lang w:eastAsia="zh-CN"/>
        </w:rPr>
        <w:t>工作纸</w:t>
      </w:r>
    </w:p>
    <w:p w14:paraId="16E963BF" w14:textId="39DA3872" w:rsidR="003133EB" w:rsidRPr="00210508" w:rsidRDefault="00901425" w:rsidP="003133EB">
      <w:pPr>
        <w:snapToGrid w:val="0"/>
        <w:spacing w:line="240" w:lineRule="auto"/>
        <w:rPr>
          <w:rFonts w:ascii="標楷體" w:eastAsia="標楷體" w:hAnsi="標楷體" w:cs="Times New Roman"/>
          <w:b/>
          <w:sz w:val="28"/>
          <w:szCs w:val="28"/>
          <w:lang w:eastAsia="zh-HK"/>
        </w:rPr>
      </w:pPr>
      <w:r w:rsidRPr="00901425">
        <w:rPr>
          <w:rFonts w:ascii="標楷體" w:eastAsia="DengXian" w:hAnsi="標楷體" w:cs="Times New Roman" w:hint="eastAsia"/>
          <w:b/>
          <w:sz w:val="28"/>
          <w:szCs w:val="28"/>
          <w:lang w:eastAsia="zh-CN"/>
        </w:rPr>
        <w:t xml:space="preserve">甲　</w:t>
      </w:r>
      <w:r w:rsidRPr="00210508">
        <w:rPr>
          <w:rFonts w:ascii="標楷體" w:eastAsia="標楷體" w:hAnsi="標楷體" w:cs="Times New Roman"/>
          <w:b/>
          <w:sz w:val="28"/>
          <w:szCs w:val="28"/>
          <w:lang w:eastAsia="zh-CN"/>
        </w:rPr>
        <w:tab/>
      </w:r>
      <w:r w:rsidRPr="00901425">
        <w:rPr>
          <w:rFonts w:ascii="標楷體" w:eastAsia="DengXian" w:hAnsi="標楷體" w:cs="Times New Roman" w:hint="eastAsia"/>
          <w:b/>
          <w:sz w:val="28"/>
          <w:szCs w:val="28"/>
          <w:lang w:eastAsia="zh-CN"/>
        </w:rPr>
        <w:t>填充题</w:t>
      </w:r>
    </w:p>
    <w:p w14:paraId="12A45183" w14:textId="115BD917" w:rsidR="003133EB" w:rsidRPr="00210508" w:rsidRDefault="00901425" w:rsidP="003133EB">
      <w:pPr>
        <w:snapToGrid w:val="0"/>
        <w:spacing w:line="240" w:lineRule="auto"/>
        <w:rPr>
          <w:rFonts w:ascii="標楷體" w:eastAsia="標楷體" w:hAnsi="標楷體" w:cs="Times New Roman"/>
          <w:b/>
          <w:sz w:val="28"/>
          <w:szCs w:val="28"/>
          <w:lang w:eastAsia="zh-HK"/>
        </w:rPr>
      </w:pPr>
      <w:r w:rsidRPr="00901425">
        <w:rPr>
          <w:rFonts w:ascii="標楷體" w:eastAsia="DengXian" w:hAnsi="標楷體" w:cs="Times New Roman" w:hint="eastAsia"/>
          <w:b/>
          <w:sz w:val="28"/>
          <w:szCs w:val="28"/>
          <w:lang w:eastAsia="zh-CN"/>
        </w:rPr>
        <w:t>在空格填上正确的答案。</w:t>
      </w:r>
    </w:p>
    <w:tbl>
      <w:tblPr>
        <w:tblStyle w:val="a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7"/>
      </w:tblGrid>
      <w:tr w:rsidR="003133EB" w:rsidRPr="00210508" w14:paraId="7006E16D" w14:textId="77777777" w:rsidTr="00D02F8C">
        <w:trPr>
          <w:jc w:val="center"/>
        </w:trPr>
        <w:tc>
          <w:tcPr>
            <w:tcW w:w="9394" w:type="dxa"/>
          </w:tcPr>
          <w:p w14:paraId="44D7BEC5" w14:textId="72200C73" w:rsidR="003133EB" w:rsidRPr="00AF3A22" w:rsidRDefault="00901425" w:rsidP="00D02F8C">
            <w:pPr>
              <w:snapToGrid w:val="0"/>
              <w:rPr>
                <w:rFonts w:ascii="標楷體" w:eastAsia="標楷體" w:hAnsi="標楷體" w:cs="Times New Roman"/>
                <w:sz w:val="28"/>
                <w:szCs w:val="28"/>
                <w:lang w:eastAsia="zh-HK"/>
              </w:rPr>
            </w:pPr>
            <w:r w:rsidRPr="00901425">
              <w:rPr>
                <w:rFonts w:ascii="標楷體" w:eastAsia="DengXian" w:hAnsi="標楷體" w:cs="Times New Roman" w:hint="eastAsia"/>
                <w:sz w:val="28"/>
                <w:szCs w:val="28"/>
                <w:lang w:eastAsia="zh-CN"/>
              </w:rPr>
              <w:t>社会是由不同背景的人士组成，若我们相处时，能以下列五大元素为前提，大家便能有机会平等地参与社会发展，发挥所长，为共建多元共融社会作出贡献。</w:t>
            </w:r>
          </w:p>
          <w:p w14:paraId="23BE5D8A" w14:textId="77777777" w:rsidR="003133EB" w:rsidRPr="00BA7134" w:rsidRDefault="003133EB" w:rsidP="00D02F8C">
            <w:pPr>
              <w:snapToGrid w:val="0"/>
              <w:rPr>
                <w:rFonts w:ascii="標楷體" w:eastAsia="標楷體" w:hAnsi="標楷體" w:cs="Times New Roman"/>
                <w:sz w:val="28"/>
                <w:szCs w:val="28"/>
                <w:lang w:eastAsia="zh-HK"/>
              </w:rPr>
            </w:pPr>
          </w:p>
          <w:p w14:paraId="59174608" w14:textId="77777777" w:rsidR="003133EB" w:rsidRPr="00BA7134" w:rsidRDefault="00233BA2" w:rsidP="00D02F8C">
            <w:pPr>
              <w:snapToGrid w:val="0"/>
              <w:rPr>
                <w:rFonts w:ascii="標楷體" w:eastAsia="標楷體" w:hAnsi="標楷體" w:cs="Times New Roman"/>
                <w:sz w:val="28"/>
                <w:szCs w:val="28"/>
                <w:lang w:eastAsia="zh-HK"/>
              </w:rPr>
            </w:pPr>
            <w:r w:rsidRPr="00BA7134">
              <w:rPr>
                <w:rFonts w:ascii="標楷體" w:eastAsia="標楷體" w:hAnsi="標楷體" w:cs="Times New Roman"/>
                <w:noProof/>
                <w:sz w:val="28"/>
                <w:szCs w:val="28"/>
              </w:rPr>
              <mc:AlternateContent>
                <mc:Choice Requires="wps">
                  <w:drawing>
                    <wp:anchor distT="0" distB="0" distL="114300" distR="114300" simplePos="0" relativeHeight="251661312" behindDoc="0" locked="0" layoutInCell="1" allowOverlap="1" wp14:anchorId="2B5A1F26" wp14:editId="3B69CF3E">
                      <wp:simplePos x="0" y="0"/>
                      <wp:positionH relativeFrom="column">
                        <wp:posOffset>3634189</wp:posOffset>
                      </wp:positionH>
                      <wp:positionV relativeFrom="paragraph">
                        <wp:posOffset>77422</wp:posOffset>
                      </wp:positionV>
                      <wp:extent cx="1494790" cy="595630"/>
                      <wp:effectExtent l="0" t="266700" r="10160" b="13970"/>
                      <wp:wrapNone/>
                      <wp:docPr id="5" name="圓角矩形圖說文字 5"/>
                      <wp:cNvGraphicFramePr/>
                      <a:graphic xmlns:a="http://schemas.openxmlformats.org/drawingml/2006/main">
                        <a:graphicData uri="http://schemas.microsoft.com/office/word/2010/wordprocessingShape">
                          <wps:wsp>
                            <wps:cNvSpPr/>
                            <wps:spPr>
                              <a:xfrm>
                                <a:off x="0" y="0"/>
                                <a:ext cx="1494790" cy="595630"/>
                              </a:xfrm>
                              <a:prstGeom prst="wedgeRoundRectCallout">
                                <a:avLst>
                                  <a:gd name="adj1" fmla="val -35728"/>
                                  <a:gd name="adj2" fmla="val -9076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78CA97FF" w14:textId="3411B67F"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尊重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5A1F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5" o:spid="_x0000_s1027" type="#_x0000_t62" style="position:absolute;margin-left:286.15pt;margin-top:6.1pt;width:117.7pt;height:4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" adj="3083,-8804" fillcolor="white [3201]" strokecolor="#5b9bd5 [3204]" strokeweight="1pt">
                      <v:textbox>
                        <w:txbxContent>
                          <w:p w14:paraId="78CA97FF" w14:textId="3411B67F"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尊重</w:t>
                            </w:r>
                          </w:p>
                        </w:txbxContent>
                      </v:textbox>
                    </v:shape>
                  </w:pict>
                </mc:Fallback>
              </mc:AlternateContent>
            </w:r>
            <w:r w:rsidRPr="00BA7134">
              <w:rPr>
                <w:rFonts w:ascii="標楷體" w:eastAsia="標楷體" w:hAnsi="標楷體" w:cs="Times New Roman"/>
                <w:noProof/>
                <w:sz w:val="28"/>
                <w:szCs w:val="28"/>
              </w:rPr>
              <mc:AlternateContent>
                <mc:Choice Requires="wps">
                  <w:drawing>
                    <wp:anchor distT="0" distB="0" distL="114300" distR="114300" simplePos="0" relativeHeight="251660288" behindDoc="0" locked="0" layoutInCell="1" allowOverlap="1" wp14:anchorId="65406094" wp14:editId="71C5EC8C">
                      <wp:simplePos x="0" y="0"/>
                      <wp:positionH relativeFrom="column">
                        <wp:posOffset>1828872</wp:posOffset>
                      </wp:positionH>
                      <wp:positionV relativeFrom="paragraph">
                        <wp:posOffset>74295</wp:posOffset>
                      </wp:positionV>
                      <wp:extent cx="1494790" cy="595630"/>
                      <wp:effectExtent l="0" t="285750" r="10160" b="13970"/>
                      <wp:wrapNone/>
                      <wp:docPr id="4" name="圓角矩形圖說文字 4"/>
                      <wp:cNvGraphicFramePr/>
                      <a:graphic xmlns:a="http://schemas.openxmlformats.org/drawingml/2006/main">
                        <a:graphicData uri="http://schemas.microsoft.com/office/word/2010/wordprocessingShape">
                          <wps:wsp>
                            <wps:cNvSpPr/>
                            <wps:spPr>
                              <a:xfrm>
                                <a:off x="0" y="0"/>
                                <a:ext cx="1494790" cy="595630"/>
                              </a:xfrm>
                              <a:prstGeom prst="wedgeRoundRectCallout">
                                <a:avLst>
                                  <a:gd name="adj1" fmla="val 10019"/>
                                  <a:gd name="adj2" fmla="val -9638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27DE7C49" w14:textId="321E1D54"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接纳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406094" id="圓角矩形圖說文字 4" o:spid="_x0000_s1028" type="#_x0000_t62" style="position:absolute;margin-left:2in;margin-top:5.85pt;width:117.7pt;height:4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" adj="12964,-10018" fillcolor="white [3201]" strokecolor="#5b9bd5 [3204]" strokeweight="1pt">
                      <v:textbox>
                        <w:txbxContent>
                          <w:p w14:paraId="27DE7C49" w14:textId="321E1D54"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接纳</w:t>
                            </w:r>
                          </w:p>
                        </w:txbxContent>
                      </v:textbox>
                    </v:shape>
                  </w:pict>
                </mc:Fallback>
              </mc:AlternateContent>
            </w:r>
            <w:r w:rsidRPr="00BA7134">
              <w:rPr>
                <w:rFonts w:ascii="標楷體" w:eastAsia="標楷體" w:hAnsi="標楷體" w:cs="Times New Roman"/>
                <w:noProof/>
                <w:sz w:val="28"/>
                <w:szCs w:val="28"/>
              </w:rPr>
              <mc:AlternateContent>
                <mc:Choice Requires="wps">
                  <w:drawing>
                    <wp:anchor distT="0" distB="0" distL="114300" distR="114300" simplePos="0" relativeHeight="251659264" behindDoc="0" locked="0" layoutInCell="1" allowOverlap="1" wp14:anchorId="5110AE72" wp14:editId="0801215C">
                      <wp:simplePos x="0" y="0"/>
                      <wp:positionH relativeFrom="column">
                        <wp:posOffset>38878</wp:posOffset>
                      </wp:positionH>
                      <wp:positionV relativeFrom="paragraph">
                        <wp:posOffset>74295</wp:posOffset>
                      </wp:positionV>
                      <wp:extent cx="1494790" cy="595630"/>
                      <wp:effectExtent l="0" t="285750" r="10160" b="13970"/>
                      <wp:wrapNone/>
                      <wp:docPr id="1" name="圓角矩形圖說文字 3"/>
                      <wp:cNvGraphicFramePr/>
                      <a:graphic xmlns:a="http://schemas.openxmlformats.org/drawingml/2006/main">
                        <a:graphicData uri="http://schemas.microsoft.com/office/word/2010/wordprocessingShape">
                          <wps:wsp>
                            <wps:cNvSpPr/>
                            <wps:spPr>
                              <a:xfrm>
                                <a:off x="0" y="0"/>
                                <a:ext cx="1494790" cy="595630"/>
                              </a:xfrm>
                              <a:prstGeom prst="wedgeRoundRectCallout">
                                <a:avLst>
                                  <a:gd name="adj1" fmla="val 39807"/>
                                  <a:gd name="adj2" fmla="val -94132"/>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0C21CE2D" w14:textId="14A827F8" w:rsidR="003133EB" w:rsidRPr="00AF3A22" w:rsidRDefault="00901425" w:rsidP="003133EB">
                                  <w:pPr>
                                    <w:jc w:val="center"/>
                                    <w:rPr>
                                      <w:rFonts w:ascii="標楷體" w:eastAsia="標楷體" w:hAnsi="標楷體"/>
                                      <w:sz w:val="36"/>
                                      <w:szCs w:val="36"/>
                                    </w:rPr>
                                  </w:pPr>
                                  <w:r w:rsidRPr="00901425">
                                    <w:rPr>
                                      <w:rFonts w:ascii="標楷體" w:eastAsia="DengXian" w:hAnsi="標楷體" w:hint="eastAsia"/>
                                      <w:sz w:val="36"/>
                                      <w:szCs w:val="36"/>
                                      <w:lang w:eastAsia="zh-CN"/>
                                    </w:rPr>
                                    <w:t>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10AE72" id="圓角矩形圖說文字 3" o:spid="_x0000_s1029" type="#_x0000_t62" style="position:absolute;margin-left:3.05pt;margin-top:5.85pt;width:117.7pt;height:4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" adj="19398,-9533" fillcolor="white [3201]" strokecolor="#5b9bd5 [3204]" strokeweight="1pt">
                      <v:textbox>
                        <w:txbxContent>
                          <w:p w14:paraId="0C21CE2D" w14:textId="14A827F8" w:rsidR="003133EB" w:rsidRPr="00AF3A22" w:rsidRDefault="00901425" w:rsidP="003133EB">
                            <w:pPr>
                              <w:jc w:val="center"/>
                              <w:rPr>
                                <w:rFonts w:ascii="標楷體" w:eastAsia="標楷體" w:hAnsi="標楷體"/>
                                <w:sz w:val="36"/>
                                <w:szCs w:val="36"/>
                              </w:rPr>
                            </w:pPr>
                            <w:r w:rsidRPr="00901425">
                              <w:rPr>
                                <w:rFonts w:ascii="標楷體" w:eastAsia="DengXian" w:hAnsi="標楷體" w:hint="eastAsia"/>
                                <w:sz w:val="36"/>
                                <w:szCs w:val="36"/>
                                <w:lang w:eastAsia="zh-CN"/>
                              </w:rPr>
                              <w:t>包容</w:t>
                            </w:r>
                          </w:p>
                        </w:txbxContent>
                      </v:textbox>
                    </v:shape>
                  </w:pict>
                </mc:Fallback>
              </mc:AlternateContent>
            </w:r>
          </w:p>
          <w:p w14:paraId="6CE68502" w14:textId="77777777" w:rsidR="003133EB" w:rsidRPr="00BA7134" w:rsidRDefault="003133EB" w:rsidP="00D02F8C">
            <w:pPr>
              <w:snapToGrid w:val="0"/>
              <w:rPr>
                <w:rFonts w:ascii="標楷體" w:eastAsia="標楷體" w:hAnsi="標楷體" w:cs="Times New Roman"/>
                <w:sz w:val="28"/>
                <w:szCs w:val="28"/>
                <w:lang w:eastAsia="zh-HK"/>
              </w:rPr>
            </w:pPr>
          </w:p>
          <w:p w14:paraId="62899157" w14:textId="77777777" w:rsidR="003133EB" w:rsidRPr="00BA7134" w:rsidRDefault="003133EB" w:rsidP="00D02F8C">
            <w:pPr>
              <w:snapToGrid w:val="0"/>
              <w:rPr>
                <w:rFonts w:ascii="標楷體" w:eastAsia="標楷體" w:hAnsi="標楷體" w:cs="Times New Roman"/>
                <w:sz w:val="28"/>
                <w:szCs w:val="28"/>
                <w:lang w:eastAsia="zh-HK"/>
              </w:rPr>
            </w:pPr>
          </w:p>
          <w:p w14:paraId="52999AEF" w14:textId="77777777" w:rsidR="003133EB" w:rsidRPr="00BA7134" w:rsidRDefault="00233BA2" w:rsidP="00D02F8C">
            <w:pPr>
              <w:snapToGrid w:val="0"/>
              <w:rPr>
                <w:rFonts w:ascii="標楷體" w:eastAsia="標楷體" w:hAnsi="標楷體" w:cs="Times New Roman"/>
                <w:sz w:val="28"/>
                <w:szCs w:val="28"/>
                <w:lang w:eastAsia="zh-HK"/>
              </w:rPr>
            </w:pPr>
            <w:r w:rsidRPr="00BA7134">
              <w:rPr>
                <w:rFonts w:ascii="標楷體" w:eastAsia="標楷體" w:hAnsi="標楷體" w:cs="Times New Roman"/>
                <w:noProof/>
                <w:sz w:val="28"/>
                <w:szCs w:val="28"/>
              </w:rPr>
              <mc:AlternateContent>
                <mc:Choice Requires="wps">
                  <w:drawing>
                    <wp:anchor distT="0" distB="0" distL="114300" distR="114300" simplePos="0" relativeHeight="251663360" behindDoc="0" locked="0" layoutInCell="1" allowOverlap="1" wp14:anchorId="2E698703" wp14:editId="216D4799">
                      <wp:simplePos x="0" y="0"/>
                      <wp:positionH relativeFrom="column">
                        <wp:posOffset>2688051</wp:posOffset>
                      </wp:positionH>
                      <wp:positionV relativeFrom="paragraph">
                        <wp:posOffset>219338</wp:posOffset>
                      </wp:positionV>
                      <wp:extent cx="1494790" cy="595630"/>
                      <wp:effectExtent l="0" t="323850" r="10160" b="13970"/>
                      <wp:wrapNone/>
                      <wp:docPr id="7" name="圓角矩形圖說文字 7"/>
                      <wp:cNvGraphicFramePr/>
                      <a:graphic xmlns:a="http://schemas.openxmlformats.org/drawingml/2006/main">
                        <a:graphicData uri="http://schemas.microsoft.com/office/word/2010/wordprocessingShape">
                          <wps:wsp>
                            <wps:cNvSpPr/>
                            <wps:spPr>
                              <a:xfrm>
                                <a:off x="0" y="0"/>
                                <a:ext cx="1494790" cy="595630"/>
                              </a:xfrm>
                              <a:prstGeom prst="wedgeRoundRectCallout">
                                <a:avLst>
                                  <a:gd name="adj1" fmla="val 5231"/>
                                  <a:gd name="adj2" fmla="val -99752"/>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04803A5A" w14:textId="15D1CA34" w:rsidR="003133EB" w:rsidRPr="00AF3A22" w:rsidRDefault="00901425" w:rsidP="003133EB">
                                  <w:pPr>
                                    <w:jc w:val="center"/>
                                    <w:rPr>
                                      <w:rFonts w:ascii="標楷體" w:eastAsia="標楷體" w:hAnsi="標楷體"/>
                                      <w:sz w:val="36"/>
                                      <w:szCs w:val="36"/>
                                    </w:rPr>
                                  </w:pPr>
                                  <w:r w:rsidRPr="00901425">
                                    <w:rPr>
                                      <w:rFonts w:ascii="標楷體" w:eastAsia="DengXian" w:hAnsi="標楷體" w:hint="eastAsia"/>
                                      <w:sz w:val="36"/>
                                      <w:szCs w:val="36"/>
                                      <w:lang w:eastAsia="zh-CN"/>
                                    </w:rPr>
                                    <w:t>公平对待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698703" id="圓角矩形圖說文字 7" o:spid="_x0000_s1030" type="#_x0000_t62" style="position:absolute;margin-left:211.65pt;margin-top:17.25pt;width:117.7pt;height:4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" adj="11930,-10746" fillcolor="white [3201]" strokecolor="#5b9bd5 [3204]" strokeweight="1pt">
                      <v:textbox>
                        <w:txbxContent>
                          <w:p w14:paraId="04803A5A" w14:textId="15D1CA34" w:rsidR="003133EB" w:rsidRPr="00AF3A22" w:rsidRDefault="00901425" w:rsidP="003133EB">
                            <w:pPr>
                              <w:jc w:val="center"/>
                              <w:rPr>
                                <w:rFonts w:ascii="標楷體" w:eastAsia="標楷體" w:hAnsi="標楷體"/>
                                <w:sz w:val="36"/>
                                <w:szCs w:val="36"/>
                              </w:rPr>
                            </w:pPr>
                            <w:r w:rsidRPr="00901425">
                              <w:rPr>
                                <w:rFonts w:ascii="標楷體" w:eastAsia="DengXian" w:hAnsi="標楷體" w:hint="eastAsia"/>
                                <w:sz w:val="36"/>
                                <w:szCs w:val="36"/>
                                <w:lang w:eastAsia="zh-CN"/>
                              </w:rPr>
                              <w:t>公平对待</w:t>
                            </w:r>
                          </w:p>
                        </w:txbxContent>
                      </v:textbox>
                    </v:shape>
                  </w:pict>
                </mc:Fallback>
              </mc:AlternateContent>
            </w:r>
            <w:r w:rsidRPr="00BA7134">
              <w:rPr>
                <w:rFonts w:ascii="標楷體" w:eastAsia="標楷體" w:hAnsi="標楷體" w:cs="Times New Roman"/>
                <w:noProof/>
                <w:sz w:val="28"/>
                <w:szCs w:val="28"/>
              </w:rPr>
              <mc:AlternateContent>
                <mc:Choice Requires="wps">
                  <w:drawing>
                    <wp:anchor distT="0" distB="0" distL="114300" distR="114300" simplePos="0" relativeHeight="251662336" behindDoc="0" locked="0" layoutInCell="1" allowOverlap="1" wp14:anchorId="78607353" wp14:editId="27352094">
                      <wp:simplePos x="0" y="0"/>
                      <wp:positionH relativeFrom="column">
                        <wp:posOffset>993476</wp:posOffset>
                      </wp:positionH>
                      <wp:positionV relativeFrom="paragraph">
                        <wp:posOffset>228600</wp:posOffset>
                      </wp:positionV>
                      <wp:extent cx="1494790" cy="595630"/>
                      <wp:effectExtent l="0" t="323850" r="10160" b="13970"/>
                      <wp:wrapNone/>
                      <wp:docPr id="6" name="圓角矩形圖說文字 6"/>
                      <wp:cNvGraphicFramePr/>
                      <a:graphic xmlns:a="http://schemas.openxmlformats.org/drawingml/2006/main">
                        <a:graphicData uri="http://schemas.microsoft.com/office/word/2010/wordprocessingShape">
                          <wps:wsp>
                            <wps:cNvSpPr/>
                            <wps:spPr>
                              <a:xfrm>
                                <a:off x="0" y="0"/>
                                <a:ext cx="1494790" cy="595630"/>
                              </a:xfrm>
                              <a:prstGeom prst="wedgeRoundRectCallout">
                                <a:avLst>
                                  <a:gd name="adj1" fmla="val -1684"/>
                                  <a:gd name="adj2" fmla="val -99752"/>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4DE35E6D" w14:textId="38AF6A13"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欣赏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607353" id="圓角矩形圖說文字 6" o:spid="_x0000_s1031" type="#_x0000_t62" style="position:absolute;margin-left:78.25pt;margin-top:18pt;width:117.7pt;height:4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" adj="10436,-10746" fillcolor="white [3201]" strokecolor="#5b9bd5 [3204]" strokeweight="1pt">
                      <v:textbox>
                        <w:txbxContent>
                          <w:p w14:paraId="4DE35E6D" w14:textId="38AF6A13" w:rsidR="003133EB" w:rsidRPr="00444E72" w:rsidRDefault="00901425" w:rsidP="003133EB">
                            <w:pPr>
                              <w:jc w:val="center"/>
                              <w:rPr>
                                <w:rFonts w:ascii="標楷體" w:eastAsia="標楷體" w:hAnsi="標楷體"/>
                                <w:i/>
                                <w:color w:val="FF0000"/>
                                <w:sz w:val="36"/>
                                <w:szCs w:val="36"/>
                                <w:u w:val="single"/>
                              </w:rPr>
                            </w:pPr>
                            <w:r w:rsidRPr="00901425">
                              <w:rPr>
                                <w:rFonts w:ascii="標楷體" w:eastAsia="DengXian" w:hAnsi="標楷體" w:hint="eastAsia"/>
                                <w:i/>
                                <w:color w:val="FF0000"/>
                                <w:sz w:val="36"/>
                                <w:szCs w:val="36"/>
                                <w:u w:val="single"/>
                                <w:lang w:eastAsia="zh-CN"/>
                              </w:rPr>
                              <w:t>欣赏</w:t>
                            </w:r>
                          </w:p>
                        </w:txbxContent>
                      </v:textbox>
                    </v:shape>
                  </w:pict>
                </mc:Fallback>
              </mc:AlternateContent>
            </w:r>
          </w:p>
          <w:p w14:paraId="69D9A4FA" w14:textId="77777777" w:rsidR="003133EB" w:rsidRPr="00BA7134" w:rsidRDefault="003133EB" w:rsidP="00D02F8C">
            <w:pPr>
              <w:snapToGrid w:val="0"/>
              <w:rPr>
                <w:rFonts w:ascii="標楷體" w:eastAsia="標楷體" w:hAnsi="標楷體" w:cs="Times New Roman"/>
                <w:sz w:val="28"/>
                <w:szCs w:val="28"/>
                <w:lang w:eastAsia="zh-HK"/>
              </w:rPr>
            </w:pPr>
          </w:p>
          <w:p w14:paraId="5D9B0913" w14:textId="77777777" w:rsidR="003133EB" w:rsidRPr="00BA7134" w:rsidRDefault="003133EB" w:rsidP="00D02F8C">
            <w:pPr>
              <w:snapToGrid w:val="0"/>
              <w:rPr>
                <w:rFonts w:ascii="標楷體" w:eastAsia="標楷體" w:hAnsi="標楷體" w:cs="Times New Roman"/>
                <w:sz w:val="28"/>
                <w:szCs w:val="28"/>
                <w:lang w:eastAsia="zh-HK"/>
              </w:rPr>
            </w:pPr>
          </w:p>
          <w:p w14:paraId="1FB7FA37" w14:textId="77777777" w:rsidR="003133EB" w:rsidRPr="00210508" w:rsidRDefault="003133EB" w:rsidP="00D02F8C">
            <w:pPr>
              <w:snapToGrid w:val="0"/>
              <w:rPr>
                <w:rFonts w:ascii="標楷體" w:eastAsia="標楷體" w:hAnsi="標楷體" w:cs="Times New Roman"/>
                <w:sz w:val="28"/>
                <w:szCs w:val="28"/>
              </w:rPr>
            </w:pPr>
          </w:p>
        </w:tc>
      </w:tr>
    </w:tbl>
    <w:p w14:paraId="5302FD72" w14:textId="77777777" w:rsidR="003133EB" w:rsidRPr="00210508" w:rsidRDefault="003133EB" w:rsidP="003133EB">
      <w:pPr>
        <w:snapToGrid w:val="0"/>
        <w:spacing w:line="240" w:lineRule="auto"/>
        <w:rPr>
          <w:rFonts w:ascii="標楷體" w:eastAsia="標楷體" w:hAnsi="標楷體" w:cs="Times New Roman"/>
          <w:b/>
          <w:sz w:val="28"/>
          <w:szCs w:val="28"/>
          <w:lang w:eastAsia="zh-HK"/>
        </w:rPr>
      </w:pPr>
    </w:p>
    <w:p w14:paraId="34C1D927" w14:textId="161322C5" w:rsidR="003133EB" w:rsidRPr="00210508" w:rsidRDefault="00901425" w:rsidP="003133EB">
      <w:pPr>
        <w:snapToGrid w:val="0"/>
        <w:spacing w:line="240" w:lineRule="auto"/>
        <w:rPr>
          <w:rFonts w:ascii="標楷體" w:eastAsia="標楷體" w:hAnsi="標楷體" w:cs="Times New Roman"/>
          <w:b/>
          <w:sz w:val="28"/>
          <w:szCs w:val="28"/>
          <w:lang w:eastAsia="zh-HK"/>
        </w:rPr>
      </w:pPr>
      <w:r w:rsidRPr="00901425">
        <w:rPr>
          <w:rFonts w:ascii="標楷體" w:eastAsia="DengXian" w:hAnsi="標楷體" w:cs="Times New Roman" w:hint="eastAsia"/>
          <w:b/>
          <w:sz w:val="28"/>
          <w:szCs w:val="28"/>
          <w:lang w:eastAsia="zh-CN"/>
        </w:rPr>
        <w:t xml:space="preserve">乙　</w:t>
      </w:r>
      <w:r w:rsidRPr="00210508">
        <w:rPr>
          <w:rFonts w:ascii="標楷體" w:eastAsia="標楷體" w:hAnsi="標楷體" w:cs="Times New Roman"/>
          <w:b/>
          <w:sz w:val="28"/>
          <w:szCs w:val="28"/>
          <w:lang w:eastAsia="zh-CN"/>
        </w:rPr>
        <w:tab/>
      </w:r>
      <w:r w:rsidRPr="00901425">
        <w:rPr>
          <w:rFonts w:ascii="標楷體" w:eastAsia="DengXian" w:hAnsi="標楷體" w:cs="Times New Roman" w:hint="eastAsia"/>
          <w:b/>
          <w:sz w:val="28"/>
          <w:szCs w:val="28"/>
          <w:lang w:eastAsia="zh-CN"/>
        </w:rPr>
        <w:t>是非题</w:t>
      </w:r>
    </w:p>
    <w:p w14:paraId="0BB485BD" w14:textId="3799C686" w:rsidR="003133EB" w:rsidRPr="00210508" w:rsidRDefault="00901425" w:rsidP="000B630C">
      <w:pPr>
        <w:snapToGrid w:val="0"/>
        <w:spacing w:line="240" w:lineRule="auto"/>
        <w:jc w:val="both"/>
        <w:rPr>
          <w:rFonts w:ascii="標楷體" w:eastAsia="標楷體" w:hAnsi="標楷體" w:cs="Times New Roman"/>
          <w:b/>
          <w:sz w:val="28"/>
          <w:szCs w:val="28"/>
          <w:lang w:eastAsia="zh-HK"/>
        </w:rPr>
      </w:pPr>
      <w:r w:rsidRPr="00901425">
        <w:rPr>
          <w:rFonts w:ascii="標楷體" w:eastAsia="DengXian" w:hAnsi="標楷體" w:cs="Times New Roman" w:hint="eastAsia"/>
          <w:b/>
          <w:sz w:val="28"/>
          <w:szCs w:val="28"/>
          <w:lang w:eastAsia="zh-CN"/>
        </w:rPr>
        <w:t>判断下列有关「多元共融」的句子。正确的填上「</w:t>
      </w:r>
      <w:r w:rsidRPr="00901425">
        <w:rPr>
          <w:rFonts w:ascii="Times New Roman" w:eastAsia="DengXian" w:hAnsi="Times New Roman" w:cs="Times New Roman"/>
          <w:b/>
          <w:sz w:val="28"/>
          <w:szCs w:val="28"/>
          <w:lang w:eastAsia="zh-CN"/>
        </w:rPr>
        <w:t>T</w:t>
      </w:r>
      <w:r w:rsidRPr="00901425">
        <w:rPr>
          <w:rFonts w:ascii="標楷體" w:eastAsia="DengXian" w:hAnsi="標楷體" w:cs="Times New Roman" w:hint="eastAsia"/>
          <w:b/>
          <w:sz w:val="28"/>
          <w:szCs w:val="28"/>
          <w:lang w:eastAsia="zh-CN"/>
        </w:rPr>
        <w:t>」，错误的填上「</w:t>
      </w:r>
      <w:r w:rsidRPr="00901425">
        <w:rPr>
          <w:rFonts w:ascii="Times New Roman" w:eastAsia="DengXian" w:hAnsi="Times New Roman" w:cs="Times New Roman"/>
          <w:b/>
          <w:sz w:val="28"/>
          <w:szCs w:val="28"/>
          <w:lang w:eastAsia="zh-CN"/>
        </w:rPr>
        <w:t>F</w:t>
      </w:r>
      <w:r w:rsidRPr="00901425">
        <w:rPr>
          <w:rFonts w:ascii="標楷體" w:eastAsia="DengXian" w:hAnsi="標楷體" w:cs="Times New Roman" w:hint="eastAsia"/>
          <w:b/>
          <w:sz w:val="28"/>
          <w:szCs w:val="28"/>
          <w:lang w:eastAsia="zh-CN"/>
        </w:rPr>
        <w:t>」。</w:t>
      </w:r>
    </w:p>
    <w:tbl>
      <w:tblPr>
        <w:tblStyle w:val="ad"/>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27"/>
        <w:gridCol w:w="785"/>
      </w:tblGrid>
      <w:tr w:rsidR="003133EB" w:rsidRPr="00210508" w14:paraId="719A080E" w14:textId="77777777" w:rsidTr="002B7212">
        <w:tc>
          <w:tcPr>
            <w:tcW w:w="490" w:type="dxa"/>
          </w:tcPr>
          <w:p w14:paraId="277B4B99" w14:textId="77777777" w:rsidR="003133EB" w:rsidRPr="00210508" w:rsidRDefault="003133EB" w:rsidP="00D02F8C">
            <w:pPr>
              <w:pStyle w:val="a5"/>
              <w:widowControl w:val="0"/>
              <w:numPr>
                <w:ilvl w:val="0"/>
                <w:numId w:val="5"/>
              </w:numPr>
              <w:snapToGrid w:val="0"/>
              <w:contextualSpacing w:val="0"/>
              <w:rPr>
                <w:rFonts w:ascii="標楷體" w:eastAsia="標楷體" w:hAnsi="標楷體"/>
                <w:sz w:val="28"/>
                <w:szCs w:val="28"/>
                <w:lang w:eastAsia="zh-CN"/>
              </w:rPr>
            </w:pPr>
          </w:p>
        </w:tc>
        <w:tc>
          <w:tcPr>
            <w:tcW w:w="7127" w:type="dxa"/>
          </w:tcPr>
          <w:p w14:paraId="400FFF4E" w14:textId="22A30D5F" w:rsidR="003133EB" w:rsidRPr="00210508" w:rsidRDefault="00901425" w:rsidP="00444E72">
            <w:pPr>
              <w:snapToGrid w:val="0"/>
              <w:jc w:val="both"/>
              <w:rPr>
                <w:rFonts w:ascii="標楷體" w:eastAsia="標楷體" w:hAnsi="標楷體" w:cs="Times New Roman"/>
                <w:sz w:val="28"/>
                <w:szCs w:val="28"/>
              </w:rPr>
            </w:pPr>
            <w:r w:rsidRPr="00901425">
              <w:rPr>
                <w:rFonts w:ascii="標楷體" w:eastAsia="DengXian" w:hAnsi="標楷體" w:cs="Times New Roman" w:hint="eastAsia"/>
                <w:sz w:val="28"/>
                <w:szCs w:val="28"/>
                <w:lang w:eastAsia="zh-CN"/>
              </w:rPr>
              <w:t>「世界人权宣言」订明人人生而自由，在尊严和权利上一律平等。</w:t>
            </w:r>
          </w:p>
        </w:tc>
        <w:tc>
          <w:tcPr>
            <w:tcW w:w="785" w:type="dxa"/>
            <w:tcBorders>
              <w:bottom w:val="single" w:sz="4" w:space="0" w:color="auto"/>
            </w:tcBorders>
            <w:vAlign w:val="bottom"/>
          </w:tcPr>
          <w:p w14:paraId="40C21B31" w14:textId="38DA462B" w:rsidR="003133EB" w:rsidRPr="00444E72" w:rsidRDefault="00901425" w:rsidP="00D02F8C">
            <w:pPr>
              <w:snapToGrid w:val="0"/>
              <w:jc w:val="center"/>
              <w:rPr>
                <w:rFonts w:ascii="Times New Roman" w:eastAsia="標楷體" w:hAnsi="Times New Roman" w:cs="Times New Roman"/>
                <w:i/>
                <w:color w:val="FF0000"/>
                <w:sz w:val="28"/>
                <w:szCs w:val="28"/>
              </w:rPr>
            </w:pPr>
            <w:r w:rsidRPr="00901425">
              <w:rPr>
                <w:rFonts w:ascii="Times New Roman" w:eastAsia="DengXian" w:hAnsi="Times New Roman" w:cs="Times New Roman"/>
                <w:i/>
                <w:color w:val="FF0000"/>
                <w:sz w:val="28"/>
                <w:szCs w:val="28"/>
                <w:lang w:eastAsia="zh-CN"/>
              </w:rPr>
              <w:t>T</w:t>
            </w:r>
          </w:p>
        </w:tc>
      </w:tr>
      <w:tr w:rsidR="003133EB" w:rsidRPr="00210508" w14:paraId="1A4A8403" w14:textId="77777777" w:rsidTr="002B7212">
        <w:tc>
          <w:tcPr>
            <w:tcW w:w="490" w:type="dxa"/>
          </w:tcPr>
          <w:p w14:paraId="3D33F872" w14:textId="77777777" w:rsidR="003133EB" w:rsidRPr="00210508" w:rsidRDefault="003133EB" w:rsidP="00D02F8C">
            <w:pPr>
              <w:pStyle w:val="a5"/>
              <w:widowControl w:val="0"/>
              <w:numPr>
                <w:ilvl w:val="0"/>
                <w:numId w:val="5"/>
              </w:numPr>
              <w:snapToGrid w:val="0"/>
              <w:contextualSpacing w:val="0"/>
              <w:rPr>
                <w:rFonts w:ascii="標楷體" w:eastAsia="標楷體" w:hAnsi="標楷體"/>
                <w:sz w:val="28"/>
                <w:szCs w:val="28"/>
              </w:rPr>
            </w:pPr>
          </w:p>
        </w:tc>
        <w:tc>
          <w:tcPr>
            <w:tcW w:w="7127" w:type="dxa"/>
          </w:tcPr>
          <w:p w14:paraId="0DCF14E5" w14:textId="386FA8E1" w:rsidR="003133EB" w:rsidRPr="00210508" w:rsidRDefault="00901425" w:rsidP="00444E72">
            <w:pPr>
              <w:snapToGrid w:val="0"/>
              <w:jc w:val="both"/>
              <w:rPr>
                <w:rFonts w:ascii="標楷體" w:eastAsia="標楷體" w:hAnsi="標楷體" w:cs="Times New Roman"/>
                <w:sz w:val="28"/>
                <w:szCs w:val="28"/>
              </w:rPr>
            </w:pPr>
            <w:r w:rsidRPr="00901425">
              <w:rPr>
                <w:rFonts w:ascii="標楷體" w:eastAsia="DengXian" w:hAnsi="標楷體" w:cs="Times New Roman" w:hint="eastAsia"/>
                <w:sz w:val="28"/>
                <w:szCs w:val="28"/>
                <w:lang w:eastAsia="zh-CN"/>
              </w:rPr>
              <w:t>在多元共融的社会里，各人均能发挥所长，有助对社会产生归属感。</w:t>
            </w:r>
          </w:p>
        </w:tc>
        <w:tc>
          <w:tcPr>
            <w:tcW w:w="785" w:type="dxa"/>
            <w:tcBorders>
              <w:top w:val="single" w:sz="4" w:space="0" w:color="auto"/>
              <w:bottom w:val="single" w:sz="4" w:space="0" w:color="auto"/>
            </w:tcBorders>
            <w:vAlign w:val="bottom"/>
          </w:tcPr>
          <w:p w14:paraId="5C6142BF" w14:textId="7C23EA7A" w:rsidR="003133EB" w:rsidRPr="00444E72" w:rsidRDefault="00901425" w:rsidP="00D02F8C">
            <w:pPr>
              <w:snapToGrid w:val="0"/>
              <w:jc w:val="center"/>
              <w:rPr>
                <w:rFonts w:ascii="Times New Roman" w:eastAsia="標楷體" w:hAnsi="Times New Roman" w:cs="Times New Roman"/>
                <w:i/>
                <w:color w:val="FF0000"/>
                <w:sz w:val="28"/>
                <w:szCs w:val="28"/>
              </w:rPr>
            </w:pPr>
            <w:r w:rsidRPr="00901425">
              <w:rPr>
                <w:rFonts w:ascii="Times New Roman" w:eastAsia="DengXian" w:hAnsi="Times New Roman" w:cs="Times New Roman"/>
                <w:i/>
                <w:color w:val="FF0000"/>
                <w:sz w:val="28"/>
                <w:szCs w:val="28"/>
                <w:lang w:eastAsia="zh-CN"/>
              </w:rPr>
              <w:t>T</w:t>
            </w:r>
          </w:p>
        </w:tc>
      </w:tr>
      <w:tr w:rsidR="003133EB" w:rsidRPr="00210508" w14:paraId="4C7529B4" w14:textId="77777777" w:rsidTr="002B7212">
        <w:tc>
          <w:tcPr>
            <w:tcW w:w="490" w:type="dxa"/>
          </w:tcPr>
          <w:p w14:paraId="37B72CC6" w14:textId="77777777" w:rsidR="003133EB" w:rsidRPr="00210508" w:rsidRDefault="003133EB" w:rsidP="00D02F8C">
            <w:pPr>
              <w:pStyle w:val="a5"/>
              <w:widowControl w:val="0"/>
              <w:numPr>
                <w:ilvl w:val="0"/>
                <w:numId w:val="5"/>
              </w:numPr>
              <w:snapToGrid w:val="0"/>
              <w:contextualSpacing w:val="0"/>
              <w:rPr>
                <w:rFonts w:ascii="標楷體" w:eastAsia="標楷體" w:hAnsi="標楷體"/>
                <w:sz w:val="28"/>
                <w:szCs w:val="28"/>
              </w:rPr>
            </w:pPr>
          </w:p>
        </w:tc>
        <w:tc>
          <w:tcPr>
            <w:tcW w:w="7127" w:type="dxa"/>
          </w:tcPr>
          <w:p w14:paraId="093D7EED" w14:textId="203132DC" w:rsidR="003133EB" w:rsidRPr="00210508" w:rsidRDefault="00901425" w:rsidP="00444E72">
            <w:pPr>
              <w:snapToGrid w:val="0"/>
              <w:jc w:val="both"/>
              <w:rPr>
                <w:rFonts w:ascii="標楷體" w:eastAsia="標楷體" w:hAnsi="標楷體" w:cs="Times New Roman"/>
                <w:sz w:val="28"/>
                <w:szCs w:val="28"/>
              </w:rPr>
            </w:pPr>
            <w:r w:rsidRPr="00901425">
              <w:rPr>
                <w:rFonts w:ascii="標楷體" w:eastAsia="DengXian" w:hAnsi="標楷體" w:hint="eastAsia"/>
                <w:sz w:val="28"/>
                <w:szCs w:val="28"/>
                <w:lang w:eastAsia="zh-CN"/>
              </w:rPr>
              <w:t>多元的人才和意见有助提升创意和提高竞争力，有助推动社会前进。</w:t>
            </w:r>
          </w:p>
        </w:tc>
        <w:tc>
          <w:tcPr>
            <w:tcW w:w="785" w:type="dxa"/>
            <w:tcBorders>
              <w:top w:val="single" w:sz="4" w:space="0" w:color="auto"/>
              <w:bottom w:val="single" w:sz="4" w:space="0" w:color="auto"/>
            </w:tcBorders>
            <w:vAlign w:val="bottom"/>
          </w:tcPr>
          <w:p w14:paraId="173AF928" w14:textId="2ACA42C5" w:rsidR="003133EB" w:rsidRPr="00444E72" w:rsidRDefault="00901425" w:rsidP="00D02F8C">
            <w:pPr>
              <w:snapToGrid w:val="0"/>
              <w:jc w:val="center"/>
              <w:rPr>
                <w:rFonts w:ascii="Times New Roman" w:eastAsia="標楷體" w:hAnsi="Times New Roman" w:cs="Times New Roman"/>
                <w:i/>
                <w:color w:val="FF0000"/>
                <w:sz w:val="28"/>
                <w:szCs w:val="28"/>
              </w:rPr>
            </w:pPr>
            <w:r w:rsidRPr="00901425">
              <w:rPr>
                <w:rFonts w:ascii="Times New Roman" w:eastAsia="DengXian" w:hAnsi="Times New Roman" w:cs="Times New Roman"/>
                <w:i/>
                <w:color w:val="FF0000"/>
                <w:sz w:val="28"/>
                <w:szCs w:val="28"/>
                <w:lang w:eastAsia="zh-CN"/>
              </w:rPr>
              <w:t>T</w:t>
            </w:r>
          </w:p>
        </w:tc>
      </w:tr>
    </w:tbl>
    <w:p w14:paraId="45CDC4BE" w14:textId="77777777" w:rsidR="003133EB" w:rsidRPr="00210508" w:rsidRDefault="003133EB" w:rsidP="003133EB">
      <w:pPr>
        <w:snapToGrid w:val="0"/>
        <w:spacing w:line="240" w:lineRule="auto"/>
        <w:rPr>
          <w:rFonts w:ascii="標楷體" w:eastAsia="標楷體" w:hAnsi="標楷體" w:cs="Times New Roman"/>
          <w:sz w:val="28"/>
          <w:szCs w:val="28"/>
        </w:rPr>
      </w:pPr>
    </w:p>
    <w:p w14:paraId="02018B83" w14:textId="6F8586EE" w:rsidR="003133EB" w:rsidRPr="00210508" w:rsidRDefault="00901425" w:rsidP="003133EB">
      <w:pPr>
        <w:snapToGrid w:val="0"/>
        <w:spacing w:line="240" w:lineRule="auto"/>
        <w:rPr>
          <w:rFonts w:ascii="標楷體" w:eastAsia="標楷體" w:hAnsi="標楷體" w:cs="Times New Roman"/>
          <w:b/>
          <w:sz w:val="28"/>
          <w:szCs w:val="28"/>
        </w:rPr>
      </w:pPr>
      <w:r w:rsidRPr="00901425">
        <w:rPr>
          <w:rFonts w:ascii="標楷體" w:eastAsia="DengXian" w:hAnsi="標楷體" w:cs="Times New Roman" w:hint="eastAsia"/>
          <w:b/>
          <w:sz w:val="28"/>
          <w:szCs w:val="28"/>
          <w:lang w:eastAsia="zh-CN"/>
        </w:rPr>
        <w:t>丙</w:t>
      </w:r>
      <w:r w:rsidRPr="00210508">
        <w:rPr>
          <w:rFonts w:ascii="標楷體" w:eastAsia="標楷體" w:hAnsi="標楷體" w:cs="Times New Roman"/>
          <w:b/>
          <w:sz w:val="28"/>
          <w:szCs w:val="28"/>
          <w:lang w:eastAsia="zh-CN"/>
        </w:rPr>
        <w:tab/>
      </w:r>
      <w:r w:rsidRPr="00901425">
        <w:rPr>
          <w:rFonts w:ascii="標楷體" w:eastAsia="DengXian" w:hAnsi="標楷體" w:cs="Times New Roman" w:hint="eastAsia"/>
          <w:b/>
          <w:sz w:val="28"/>
          <w:szCs w:val="28"/>
          <w:lang w:eastAsia="zh-CN"/>
        </w:rPr>
        <w:t>短答题</w:t>
      </w:r>
    </w:p>
    <w:p w14:paraId="1051D5F1" w14:textId="506A3F3C" w:rsidR="003133EB" w:rsidRPr="008B4E8E" w:rsidRDefault="00901425" w:rsidP="003133EB">
      <w:pPr>
        <w:spacing w:line="240" w:lineRule="auto"/>
        <w:jc w:val="both"/>
        <w:rPr>
          <w:rFonts w:ascii="標楷體" w:eastAsia="標楷體" w:hAnsi="標楷體"/>
          <w:sz w:val="28"/>
          <w:szCs w:val="28"/>
          <w:lang w:eastAsia="zh-HK"/>
        </w:rPr>
      </w:pPr>
      <w:r w:rsidRPr="00901425">
        <w:rPr>
          <w:rFonts w:ascii="標楷體" w:eastAsia="DengXian" w:hAnsi="標楷體" w:hint="eastAsia"/>
          <w:sz w:val="28"/>
          <w:szCs w:val="28"/>
          <w:lang w:eastAsia="zh-CN"/>
        </w:rPr>
        <w:t>怎样的制度和政策是建构多元共融社会的重要基础？</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3133EB" w:rsidRPr="00210508" w14:paraId="6234097D" w14:textId="77777777" w:rsidTr="00D02F8C">
        <w:tc>
          <w:tcPr>
            <w:tcW w:w="9356" w:type="dxa"/>
          </w:tcPr>
          <w:p w14:paraId="2E893E9E" w14:textId="249F01B5" w:rsidR="003133EB" w:rsidRPr="00444E72" w:rsidRDefault="00901425" w:rsidP="00444E72">
            <w:pPr>
              <w:snapToGrid w:val="0"/>
              <w:spacing w:line="276" w:lineRule="auto"/>
              <w:rPr>
                <w:rFonts w:ascii="標楷體" w:eastAsia="標楷體" w:hAnsi="標楷體"/>
                <w:i/>
                <w:color w:val="FF0000"/>
                <w:sz w:val="28"/>
                <w:szCs w:val="28"/>
              </w:rPr>
            </w:pPr>
            <w:r w:rsidRPr="00901425">
              <w:rPr>
                <w:rFonts w:ascii="標楷體" w:eastAsia="DengXian" w:hAnsi="標楷體" w:hint="eastAsia"/>
                <w:i/>
                <w:color w:val="FF0000"/>
                <w:sz w:val="28"/>
                <w:szCs w:val="28"/>
                <w:lang w:eastAsia="zh-CN"/>
              </w:rPr>
              <w:t>包容、关爱的制度和政策。</w:t>
            </w:r>
          </w:p>
        </w:tc>
      </w:tr>
      <w:tr w:rsidR="00537D09" w:rsidRPr="00210508" w14:paraId="663B4C3C" w14:textId="77777777" w:rsidTr="00D02F8C">
        <w:tc>
          <w:tcPr>
            <w:tcW w:w="9356" w:type="dxa"/>
          </w:tcPr>
          <w:p w14:paraId="015CF54D" w14:textId="77777777" w:rsidR="00537D09" w:rsidRPr="00444E72" w:rsidRDefault="00537D09" w:rsidP="00DC09AB">
            <w:pPr>
              <w:snapToGrid w:val="0"/>
              <w:spacing w:line="276" w:lineRule="auto"/>
              <w:rPr>
                <w:rFonts w:ascii="標楷體" w:eastAsia="標楷體" w:hAnsi="標楷體"/>
                <w:i/>
                <w:color w:val="FF0000"/>
                <w:sz w:val="28"/>
                <w:szCs w:val="28"/>
                <w:lang w:eastAsia="zh-HK"/>
              </w:rPr>
            </w:pPr>
          </w:p>
        </w:tc>
      </w:tr>
    </w:tbl>
    <w:p w14:paraId="70DCA383" w14:textId="4EAB5F9E" w:rsidR="003133EB" w:rsidRPr="003133EB" w:rsidRDefault="003133EB" w:rsidP="003133EB">
      <w:pPr>
        <w:pStyle w:val="a5"/>
        <w:snapToGrid w:val="0"/>
        <w:ind w:left="0"/>
        <w:jc w:val="center"/>
        <w:rPr>
          <w:rFonts w:ascii="標楷體" w:eastAsia="標楷體" w:hAnsi="標楷體" w:cs="Times New Roman"/>
          <w:sz w:val="28"/>
          <w:szCs w:val="28"/>
        </w:rPr>
      </w:pPr>
      <w:r w:rsidRPr="00210508">
        <w:rPr>
          <w:rFonts w:ascii="標楷體" w:eastAsia="標楷體" w:hAnsi="標楷體" w:cs="Times New Roman" w:hint="eastAsia"/>
          <w:sz w:val="28"/>
          <w:szCs w:val="28"/>
        </w:rPr>
        <w:sym w:font="Wingdings 2" w:char="F068"/>
      </w:r>
      <w:r w:rsidRPr="00210508">
        <w:rPr>
          <w:rFonts w:ascii="標楷體" w:eastAsia="標楷體" w:hAnsi="標楷體" w:cs="Times New Roman" w:hint="eastAsia"/>
          <w:sz w:val="28"/>
          <w:szCs w:val="28"/>
        </w:rPr>
        <w:sym w:font="Wingdings 2" w:char="F068"/>
      </w:r>
      <w:r w:rsidR="00901425" w:rsidRPr="00901425">
        <w:rPr>
          <w:rFonts w:ascii="標楷體" w:eastAsia="DengXian" w:hAnsi="標楷體" w:cs="Times New Roman"/>
          <w:sz w:val="28"/>
          <w:szCs w:val="28"/>
          <w:lang w:eastAsia="zh-CN"/>
        </w:rPr>
        <w:t xml:space="preserve"> </w:t>
      </w:r>
      <w:r w:rsidR="00901425" w:rsidRPr="00901425">
        <w:rPr>
          <w:rFonts w:ascii="標楷體" w:eastAsia="DengXian" w:hAnsi="標楷體" w:cs="Times New Roman" w:hint="eastAsia"/>
          <w:sz w:val="28"/>
          <w:szCs w:val="28"/>
          <w:lang w:eastAsia="zh-CN"/>
        </w:rPr>
        <w:t>完</w:t>
      </w:r>
      <w:r w:rsidR="00901425" w:rsidRPr="00901425">
        <w:rPr>
          <w:rFonts w:ascii="標楷體" w:eastAsia="DengXian" w:hAnsi="標楷體" w:cs="Times New Roman"/>
          <w:sz w:val="28"/>
          <w:szCs w:val="28"/>
          <w:lang w:eastAsia="zh-CN"/>
        </w:rPr>
        <w:t xml:space="preserve"> </w:t>
      </w:r>
      <w:r w:rsidRPr="00210508">
        <w:rPr>
          <w:rFonts w:ascii="標楷體" w:eastAsia="標楷體" w:hAnsi="標楷體" w:cs="Times New Roman" w:hint="eastAsia"/>
          <w:sz w:val="28"/>
          <w:szCs w:val="28"/>
        </w:rPr>
        <w:sym w:font="Wingdings 2" w:char="F068"/>
      </w:r>
      <w:r w:rsidRPr="00210508">
        <w:rPr>
          <w:rFonts w:ascii="標楷體" w:eastAsia="標楷體" w:hAnsi="標楷體" w:cs="Times New Roman" w:hint="eastAsia"/>
          <w:sz w:val="28"/>
          <w:szCs w:val="28"/>
        </w:rPr>
        <w:sym w:font="Wingdings 2" w:char="F068"/>
      </w:r>
    </w:p>
    <w:sectPr w:rsidR="003133EB" w:rsidRPr="003133EB" w:rsidSect="00E51BE1">
      <w:footerReference w:type="default" r:id="rId11"/>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47CD" w14:textId="77777777" w:rsidR="00233264" w:rsidRDefault="00233264" w:rsidP="00EC5375">
      <w:pPr>
        <w:spacing w:after="0" w:line="240" w:lineRule="auto"/>
      </w:pPr>
      <w:r>
        <w:separator/>
      </w:r>
    </w:p>
  </w:endnote>
  <w:endnote w:type="continuationSeparator" w:id="0">
    <w:p w14:paraId="563AA944" w14:textId="77777777" w:rsidR="00233264" w:rsidRDefault="00233264"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64711"/>
      <w:docPartObj>
        <w:docPartGallery w:val="Page Numbers (Bottom of Page)"/>
        <w:docPartUnique/>
      </w:docPartObj>
    </w:sdtPr>
    <w:sdtEndPr>
      <w:rPr>
        <w:noProof/>
      </w:rPr>
    </w:sdtEndPr>
    <w:sdtContent>
      <w:p w14:paraId="2084D1EB" w14:textId="0812F36F" w:rsidR="009B6DDD" w:rsidRDefault="009B6DDD">
        <w:pPr>
          <w:pStyle w:val="ab"/>
          <w:jc w:val="center"/>
        </w:pPr>
        <w:r>
          <w:fldChar w:fldCharType="begin"/>
        </w:r>
        <w:r>
          <w:instrText xml:space="preserve"> PAGE   \* MERGEFORMAT </w:instrText>
        </w:r>
        <w:r>
          <w:fldChar w:fldCharType="separate"/>
        </w:r>
        <w:r w:rsidR="00901425" w:rsidRPr="00901425">
          <w:rPr>
            <w:rFonts w:eastAsia="DengXian"/>
            <w:noProof/>
            <w:lang w:eastAsia="zh-CN"/>
          </w:rPr>
          <w:t>1</w:t>
        </w:r>
        <w:r>
          <w:rPr>
            <w:noProof/>
          </w:rPr>
          <w:fldChar w:fldCharType="end"/>
        </w:r>
      </w:p>
    </w:sdtContent>
  </w:sdt>
  <w:p w14:paraId="2275D6CD"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9F93" w14:textId="77777777" w:rsidR="00233264" w:rsidRDefault="00233264" w:rsidP="00EC5375">
      <w:pPr>
        <w:spacing w:after="0" w:line="240" w:lineRule="auto"/>
      </w:pPr>
      <w:r>
        <w:separator/>
      </w:r>
    </w:p>
  </w:footnote>
  <w:footnote w:type="continuationSeparator" w:id="0">
    <w:p w14:paraId="22F1D8B7" w14:textId="77777777" w:rsidR="00233264" w:rsidRDefault="00233264"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313C"/>
    <w:multiLevelType w:val="hybridMultilevel"/>
    <w:tmpl w:val="95A2F7F4"/>
    <w:lvl w:ilvl="0" w:tplc="07F0D6A8">
      <w:numFmt w:val="bullet"/>
      <w:lvlText w:val=""/>
      <w:lvlJc w:val="left"/>
      <w:pPr>
        <w:ind w:left="720" w:hanging="360"/>
      </w:pPr>
      <w:rPr>
        <w:rFonts w:ascii="Symbol" w:eastAsia="標楷體"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tqwFAF9/z1UtAAAA"/>
  </w:docVars>
  <w:rsids>
    <w:rsidRoot w:val="00094627"/>
    <w:rsid w:val="000024BC"/>
    <w:rsid w:val="00010C41"/>
    <w:rsid w:val="000214C4"/>
    <w:rsid w:val="000264C7"/>
    <w:rsid w:val="00026D01"/>
    <w:rsid w:val="000334D2"/>
    <w:rsid w:val="000375C2"/>
    <w:rsid w:val="00042B74"/>
    <w:rsid w:val="00046784"/>
    <w:rsid w:val="000876CF"/>
    <w:rsid w:val="00094627"/>
    <w:rsid w:val="000B00A5"/>
    <w:rsid w:val="000B630C"/>
    <w:rsid w:val="000F7BCE"/>
    <w:rsid w:val="0014623E"/>
    <w:rsid w:val="00147063"/>
    <w:rsid w:val="00160A72"/>
    <w:rsid w:val="00170779"/>
    <w:rsid w:val="001803CB"/>
    <w:rsid w:val="00182449"/>
    <w:rsid w:val="001875C4"/>
    <w:rsid w:val="001A10D4"/>
    <w:rsid w:val="001A3547"/>
    <w:rsid w:val="001B1E80"/>
    <w:rsid w:val="002301DE"/>
    <w:rsid w:val="00233264"/>
    <w:rsid w:val="00233BA2"/>
    <w:rsid w:val="0025690A"/>
    <w:rsid w:val="00273636"/>
    <w:rsid w:val="002A0ADB"/>
    <w:rsid w:val="002B7212"/>
    <w:rsid w:val="002D0063"/>
    <w:rsid w:val="002E19DE"/>
    <w:rsid w:val="003045DA"/>
    <w:rsid w:val="00305B80"/>
    <w:rsid w:val="00310692"/>
    <w:rsid w:val="003133EB"/>
    <w:rsid w:val="00317851"/>
    <w:rsid w:val="00343DB2"/>
    <w:rsid w:val="003530A7"/>
    <w:rsid w:val="0036166B"/>
    <w:rsid w:val="003A1EC4"/>
    <w:rsid w:val="003B1DD7"/>
    <w:rsid w:val="003B41D5"/>
    <w:rsid w:val="003F110E"/>
    <w:rsid w:val="003F3327"/>
    <w:rsid w:val="003F7B13"/>
    <w:rsid w:val="0041350F"/>
    <w:rsid w:val="00416F2C"/>
    <w:rsid w:val="004323A8"/>
    <w:rsid w:val="00444E72"/>
    <w:rsid w:val="004464F6"/>
    <w:rsid w:val="004522F3"/>
    <w:rsid w:val="00454EAD"/>
    <w:rsid w:val="004B2318"/>
    <w:rsid w:val="004C2D13"/>
    <w:rsid w:val="004D1EC6"/>
    <w:rsid w:val="004D74F4"/>
    <w:rsid w:val="004F4CB4"/>
    <w:rsid w:val="00502306"/>
    <w:rsid w:val="00533024"/>
    <w:rsid w:val="00534348"/>
    <w:rsid w:val="00537D09"/>
    <w:rsid w:val="00560B19"/>
    <w:rsid w:val="00570EBD"/>
    <w:rsid w:val="00572D90"/>
    <w:rsid w:val="005735ED"/>
    <w:rsid w:val="005835EB"/>
    <w:rsid w:val="005B6EEF"/>
    <w:rsid w:val="005C5E3A"/>
    <w:rsid w:val="005D7B39"/>
    <w:rsid w:val="005E4B18"/>
    <w:rsid w:val="005E6E90"/>
    <w:rsid w:val="005F62D4"/>
    <w:rsid w:val="00604D12"/>
    <w:rsid w:val="006268CE"/>
    <w:rsid w:val="00636E8F"/>
    <w:rsid w:val="0065046D"/>
    <w:rsid w:val="006562C9"/>
    <w:rsid w:val="00666721"/>
    <w:rsid w:val="0066679E"/>
    <w:rsid w:val="0067273D"/>
    <w:rsid w:val="00674395"/>
    <w:rsid w:val="00680D8C"/>
    <w:rsid w:val="00681705"/>
    <w:rsid w:val="0068749E"/>
    <w:rsid w:val="006A7A27"/>
    <w:rsid w:val="006B0C2C"/>
    <w:rsid w:val="006D2DDA"/>
    <w:rsid w:val="00702C3E"/>
    <w:rsid w:val="007105EF"/>
    <w:rsid w:val="00713FF5"/>
    <w:rsid w:val="007156E5"/>
    <w:rsid w:val="00726942"/>
    <w:rsid w:val="00726F72"/>
    <w:rsid w:val="0073074E"/>
    <w:rsid w:val="00742E0D"/>
    <w:rsid w:val="007670E5"/>
    <w:rsid w:val="00785AA3"/>
    <w:rsid w:val="00796A47"/>
    <w:rsid w:val="00796F22"/>
    <w:rsid w:val="007B039B"/>
    <w:rsid w:val="007D1CDD"/>
    <w:rsid w:val="007D2C36"/>
    <w:rsid w:val="007D445B"/>
    <w:rsid w:val="007E5455"/>
    <w:rsid w:val="00813BAF"/>
    <w:rsid w:val="00813E42"/>
    <w:rsid w:val="00820A11"/>
    <w:rsid w:val="0084027A"/>
    <w:rsid w:val="00842FD3"/>
    <w:rsid w:val="0087691E"/>
    <w:rsid w:val="008B4E8E"/>
    <w:rsid w:val="008D1E97"/>
    <w:rsid w:val="00901425"/>
    <w:rsid w:val="009030EB"/>
    <w:rsid w:val="00906D68"/>
    <w:rsid w:val="00910E29"/>
    <w:rsid w:val="009219D1"/>
    <w:rsid w:val="0092514B"/>
    <w:rsid w:val="00975521"/>
    <w:rsid w:val="009A03BB"/>
    <w:rsid w:val="009B6DDD"/>
    <w:rsid w:val="009B789A"/>
    <w:rsid w:val="009E23D7"/>
    <w:rsid w:val="009F3807"/>
    <w:rsid w:val="009F6CEB"/>
    <w:rsid w:val="00A048D0"/>
    <w:rsid w:val="00A07650"/>
    <w:rsid w:val="00A33276"/>
    <w:rsid w:val="00A346E6"/>
    <w:rsid w:val="00A37C92"/>
    <w:rsid w:val="00A51E79"/>
    <w:rsid w:val="00A52840"/>
    <w:rsid w:val="00A5321E"/>
    <w:rsid w:val="00AA3802"/>
    <w:rsid w:val="00AB35BE"/>
    <w:rsid w:val="00AC10F6"/>
    <w:rsid w:val="00AE0A19"/>
    <w:rsid w:val="00AF2CB7"/>
    <w:rsid w:val="00AF3A22"/>
    <w:rsid w:val="00B06882"/>
    <w:rsid w:val="00B102F0"/>
    <w:rsid w:val="00B30453"/>
    <w:rsid w:val="00B32AA4"/>
    <w:rsid w:val="00B4234C"/>
    <w:rsid w:val="00B47174"/>
    <w:rsid w:val="00B54756"/>
    <w:rsid w:val="00B847C1"/>
    <w:rsid w:val="00BA046D"/>
    <w:rsid w:val="00BA7134"/>
    <w:rsid w:val="00BA79D7"/>
    <w:rsid w:val="00BB3E81"/>
    <w:rsid w:val="00BE40CE"/>
    <w:rsid w:val="00BE7D33"/>
    <w:rsid w:val="00C663E0"/>
    <w:rsid w:val="00C7767E"/>
    <w:rsid w:val="00CC791E"/>
    <w:rsid w:val="00D35F22"/>
    <w:rsid w:val="00D8785F"/>
    <w:rsid w:val="00DA3466"/>
    <w:rsid w:val="00DB3477"/>
    <w:rsid w:val="00DC09AB"/>
    <w:rsid w:val="00DC155B"/>
    <w:rsid w:val="00DD4F29"/>
    <w:rsid w:val="00E1151F"/>
    <w:rsid w:val="00E258E8"/>
    <w:rsid w:val="00E34D15"/>
    <w:rsid w:val="00E51BE1"/>
    <w:rsid w:val="00E55D03"/>
    <w:rsid w:val="00E771DA"/>
    <w:rsid w:val="00E853AF"/>
    <w:rsid w:val="00E91B48"/>
    <w:rsid w:val="00E97A8E"/>
    <w:rsid w:val="00EC525C"/>
    <w:rsid w:val="00EC5375"/>
    <w:rsid w:val="00EC6D6D"/>
    <w:rsid w:val="00EF111C"/>
    <w:rsid w:val="00EF79C3"/>
    <w:rsid w:val="00F0279F"/>
    <w:rsid w:val="00F26916"/>
    <w:rsid w:val="00F31D7F"/>
    <w:rsid w:val="00F56881"/>
    <w:rsid w:val="00F62B86"/>
    <w:rsid w:val="00F72F81"/>
    <w:rsid w:val="00F762DD"/>
    <w:rsid w:val="00FC65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86E1B"/>
  <w15:chartTrackingRefBased/>
  <w15:docId w15:val="{CCDD48C9-F711-4F2E-B3DF-7908C6E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styleId="ae">
    <w:name w:val="annotation reference"/>
    <w:basedOn w:val="a0"/>
    <w:uiPriority w:val="99"/>
    <w:semiHidden/>
    <w:unhideWhenUsed/>
    <w:rsid w:val="00820A11"/>
    <w:rPr>
      <w:sz w:val="18"/>
      <w:szCs w:val="18"/>
    </w:rPr>
  </w:style>
  <w:style w:type="paragraph" w:styleId="af">
    <w:name w:val="annotation text"/>
    <w:basedOn w:val="a"/>
    <w:link w:val="af0"/>
    <w:uiPriority w:val="99"/>
    <w:semiHidden/>
    <w:unhideWhenUsed/>
    <w:rsid w:val="00820A11"/>
  </w:style>
  <w:style w:type="character" w:customStyle="1" w:styleId="af0">
    <w:name w:val="註解文字 字元"/>
    <w:basedOn w:val="a0"/>
    <w:link w:val="af"/>
    <w:uiPriority w:val="99"/>
    <w:semiHidden/>
    <w:rsid w:val="00820A11"/>
  </w:style>
  <w:style w:type="paragraph" w:styleId="af1">
    <w:name w:val="annotation subject"/>
    <w:basedOn w:val="af"/>
    <w:next w:val="af"/>
    <w:link w:val="af2"/>
    <w:uiPriority w:val="99"/>
    <w:semiHidden/>
    <w:unhideWhenUsed/>
    <w:rsid w:val="00820A11"/>
    <w:rPr>
      <w:b/>
      <w:bCs/>
    </w:rPr>
  </w:style>
  <w:style w:type="character" w:customStyle="1" w:styleId="af2">
    <w:name w:val="註解主旨 字元"/>
    <w:basedOn w:val="af0"/>
    <w:link w:val="af1"/>
    <w:uiPriority w:val="99"/>
    <w:semiHidden/>
    <w:rsid w:val="0082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edcity.hk/media/%E7%94%9F%E6%B4%BB%E8%88%87%E7%A4%BE%E6%9C%83%E3%80%8C%E4%B8%89%E5%88%86%E9%90%98%E6%A6%82%E5%BF%B5%E3%80%8D%E5%8B%95%E7%95%AB%E8%A6%96%E5%83%8F%E7%89%87%E6%AE%B5%E7%B3%BB%E5%88%97%EF%BC%9A%EF%BC%884%EF%BC%89%E5%A4%9A%E5%85%83%E5%85%B1%E8%9E%8D+%28%E9%85%8D%E4%BB%A5%E4%B8%AD%E6%96%87%E5%AD%97%E5%B9%95%29/1_7qk4btc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hk/tc/residents/housing/socialservices/youth/SocialInclusion.htm" TargetMode="External"/><Relationship Id="rId4" Type="http://schemas.openxmlformats.org/officeDocument/2006/relationships/webSettings" Target="webSettings.xml"/><Relationship Id="rId9" Type="http://schemas.openxmlformats.org/officeDocument/2006/relationships/hyperlink" Target="https://www.basiclaw.gov.hk/tc/basiclaw/chapter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6</cp:revision>
  <dcterms:created xsi:type="dcterms:W3CDTF">2026-01-08T02:19:00Z</dcterms:created>
  <dcterms:modified xsi:type="dcterms:W3CDTF">2026-01-08T03:27:00Z</dcterms:modified>
</cp:coreProperties>
</file>